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17" w:rsidRDefault="002E03BB" w:rsidP="005235E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ПРОЄ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КТ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МІНІСТЕРСТВО ОСВІТИ І НАУКИ УКРАЇНИ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ТЕРНОПІЛЬСЬКИЙ НАЦІОНАЛЬНИЙ ТЕХНІЧНИЙ УНІВЕРСИТЕТ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ІМЕНІ ІВАНА ПУЛЮЯ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center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center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center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8"/>
          <w:szCs w:val="28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center"/>
        <w:rPr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ОСВІТНЬО-ПРОФЕСІЙНА ПРОГРАМА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«Інженерія програмного забезпечення»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/>
        <w:jc w:val="center"/>
        <w:rPr>
          <w:color w:val="000000"/>
          <w:sz w:val="28"/>
          <w:szCs w:val="28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Другого (магістерського) рівня вищої освіти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2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спеціальністю F2 Інженерія програмного забезпечення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галузі знань F Інформаційні технології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Кваліфікація: магістр з інженерії програмного забезпечення</w:t>
      </w:r>
    </w:p>
    <w:p w:rsidR="005235EC" w:rsidRDefault="005235EC" w:rsidP="005235EC">
      <w:pPr>
        <w:ind w:right="-143"/>
        <w:jc w:val="center"/>
        <w:rPr>
          <w:i/>
          <w:iCs/>
          <w:lang w:val="uk-UA"/>
        </w:rPr>
      </w:pPr>
      <w:r>
        <w:rPr>
          <w:i/>
          <w:iCs/>
          <w:lang w:val="uk-UA"/>
        </w:rPr>
        <w:t xml:space="preserve">Контактна особа: </w:t>
      </w:r>
      <w:r>
        <w:rPr>
          <w:i/>
          <w:iCs/>
          <w:color w:val="000000"/>
          <w:lang w:val="uk-UA"/>
        </w:rPr>
        <w:t>Михалик Дмитро Михайлович</w:t>
      </w:r>
      <w:r>
        <w:rPr>
          <w:i/>
          <w:iCs/>
          <w:lang w:val="uk-UA"/>
        </w:rPr>
        <w:t xml:space="preserve"> - к.т.н., доцент, доцент кафедри програмної інженерії, керівник робочої групи, гарант ОП </w:t>
      </w:r>
    </w:p>
    <w:p w:rsidR="005235EC" w:rsidRDefault="005235EC" w:rsidP="005235EC">
      <w:pPr>
        <w:ind w:right="-143"/>
        <w:jc w:val="center"/>
        <w:rPr>
          <w:i/>
          <w:iCs/>
          <w:sz w:val="28"/>
          <w:szCs w:val="28"/>
          <w:lang w:val="uk-UA"/>
        </w:rPr>
      </w:pPr>
      <w:r>
        <w:rPr>
          <w:rFonts w:eastAsia="Calibri"/>
          <w:i/>
          <w:iCs/>
          <w:lang w:val="en-US"/>
        </w:rPr>
        <w:t>E-mail</w:t>
      </w:r>
      <w:r>
        <w:rPr>
          <w:rFonts w:eastAsia="Calibri"/>
          <w:i/>
          <w:iCs/>
          <w:lang w:val="uk-UA"/>
        </w:rPr>
        <w:t xml:space="preserve">: </w:t>
      </w:r>
      <w:r>
        <w:rPr>
          <w:rFonts w:eastAsia="Calibri"/>
          <w:i/>
          <w:iCs/>
        </w:rPr>
        <w:t>myhalyk_d@tntu.edu.ua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 w:firstLine="4678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 w:firstLine="4678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 w:firstLine="4678"/>
        <w:rPr>
          <w:color w:val="000000"/>
          <w:sz w:val="28"/>
          <w:szCs w:val="28"/>
        </w:rPr>
      </w:pPr>
    </w:p>
    <w:tbl>
      <w:tblPr>
        <w:tblStyle w:val="af6"/>
        <w:tblW w:w="104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503"/>
        <w:gridCol w:w="5918"/>
      </w:tblGrid>
      <w:tr w:rsidR="00EE1317">
        <w:tc>
          <w:tcPr>
            <w:tcW w:w="4503" w:type="dxa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43"/>
              <w:rPr>
                <w:color w:val="000000"/>
                <w:sz w:val="28"/>
                <w:szCs w:val="28"/>
              </w:rPr>
            </w:pPr>
          </w:p>
        </w:tc>
        <w:tc>
          <w:tcPr>
            <w:tcW w:w="591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43" w:firstLine="35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ЗАТВЕРДЖЕНО ВЧЕНОЮ РАДОЮ </w:t>
            </w:r>
          </w:p>
        </w:tc>
      </w:tr>
    </w:tbl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45" w:right="-143"/>
        <w:jc w:val="righ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Голова вченої ради ___________  / Микола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МИТНИК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righ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(протокол № 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«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р.)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right"/>
        <w:rPr>
          <w:color w:val="000000"/>
          <w:sz w:val="28"/>
          <w:szCs w:val="28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righ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Освітня програма вводиться в дію з 1 вересня 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righ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Ректор ___________ / </w:t>
      </w:r>
      <w:r>
        <w:rPr>
          <w:rFonts w:ascii="Times New Roman" w:eastAsia="Times New Roman" w:hAnsi="Times New Roman" w:cs="Times New Roman"/>
          <w:sz w:val="28"/>
          <w:szCs w:val="28"/>
        </w:rPr>
        <w:t>Микола МИТНИК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43"/>
        <w:jc w:val="right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(наказ № </w:t>
      </w:r>
      <w:r>
        <w:rPr>
          <w:rFonts w:ascii="Times New Roman" w:eastAsia="Times New Roman" w:hAnsi="Times New Roman" w:cs="Times New Roman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 «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р.)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color w:val="000000"/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color w:val="000000"/>
          <w:sz w:val="28"/>
          <w:szCs w:val="28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ind w:right="-143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 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ЛИСТ ПОГОДЖЕННЯ</w:t>
      </w:r>
    </w:p>
    <w:p w:rsidR="00EE1317" w:rsidRDefault="002E03BB">
      <w:pPr>
        <w:spacing w:before="240" w:after="24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освітньо-професійної програми</w:t>
      </w:r>
    </w:p>
    <w:p w:rsidR="00EE1317" w:rsidRDefault="00EE1317">
      <w:pPr>
        <w:spacing w:after="240" w:line="360" w:lineRule="auto"/>
        <w:jc w:val="center"/>
        <w:rPr>
          <w:sz w:val="28"/>
          <w:szCs w:val="28"/>
        </w:rPr>
      </w:pPr>
    </w:p>
    <w:tbl>
      <w:tblPr>
        <w:tblStyle w:val="af7"/>
        <w:tblW w:w="978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90"/>
        <w:gridCol w:w="2790"/>
      </w:tblGrid>
      <w:tr w:rsidR="00EE1317">
        <w:trPr>
          <w:trHeight w:val="2400"/>
        </w:trPr>
        <w:tc>
          <w:tcPr>
            <w:tcW w:w="6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spacing w:before="240" w:after="240"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Завідувач кафедри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програмної інженерії</w:t>
            </w:r>
          </w:p>
          <w:p w:rsidR="00EE1317" w:rsidRDefault="002E03BB">
            <w:pPr>
              <w:spacing w:before="240" w:after="200"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E1317" w:rsidRDefault="002E03BB">
            <w:pPr>
              <w:spacing w:before="240" w:after="200"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Михайло ПЕТРИК</w:t>
            </w:r>
          </w:p>
        </w:tc>
      </w:tr>
      <w:tr w:rsidR="00EE1317">
        <w:trPr>
          <w:trHeight w:val="1485"/>
        </w:trPr>
        <w:tc>
          <w:tcPr>
            <w:tcW w:w="6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spacing w:before="240" w:after="200"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Декан факультет </w:t>
            </w:r>
            <w:r>
              <w:rPr>
                <w:sz w:val="28"/>
                <w:szCs w:val="28"/>
              </w:rPr>
              <w:br/>
              <w:t xml:space="preserve">комп'ютерно-інформаційних систем </w:t>
            </w:r>
            <w:r>
              <w:rPr>
                <w:sz w:val="28"/>
                <w:szCs w:val="28"/>
              </w:rPr>
              <w:br/>
              <w:t>і програмної інженерії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EE1317">
            <w:pPr>
              <w:spacing w:before="240" w:after="200" w:line="360" w:lineRule="auto"/>
              <w:ind w:left="260"/>
              <w:jc w:val="right"/>
              <w:rPr>
                <w:sz w:val="28"/>
                <w:szCs w:val="28"/>
              </w:rPr>
            </w:pP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Ігор БАРАН</w:t>
            </w:r>
          </w:p>
        </w:tc>
      </w:tr>
      <w:tr w:rsidR="00EE1317">
        <w:trPr>
          <w:trHeight w:val="1845"/>
        </w:trPr>
        <w:tc>
          <w:tcPr>
            <w:tcW w:w="6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EE1317">
            <w:pPr>
              <w:spacing w:before="240" w:after="240" w:line="276" w:lineRule="auto"/>
              <w:ind w:left="260"/>
              <w:jc w:val="both"/>
              <w:rPr>
                <w:sz w:val="28"/>
                <w:szCs w:val="28"/>
              </w:rPr>
            </w:pPr>
          </w:p>
          <w:p w:rsidR="00EE1317" w:rsidRDefault="002E03BB">
            <w:pPr>
              <w:spacing w:before="240" w:after="240"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Голова </w:t>
            </w:r>
            <w:r>
              <w:rPr>
                <w:sz w:val="28"/>
                <w:szCs w:val="28"/>
              </w:rPr>
              <w:br/>
              <w:t>Експертної ради роботодавців</w:t>
            </w:r>
            <w:r>
              <w:rPr>
                <w:sz w:val="28"/>
                <w:szCs w:val="28"/>
              </w:rPr>
              <w:br/>
              <w:t xml:space="preserve">кафедри програмної інженерії </w:t>
            </w:r>
            <w:r>
              <w:rPr>
                <w:sz w:val="28"/>
                <w:szCs w:val="28"/>
              </w:rPr>
              <w:br/>
              <w:t>та кафедри комп’ютерних наук,</w:t>
            </w:r>
            <w:r>
              <w:rPr>
                <w:sz w:val="28"/>
                <w:szCs w:val="28"/>
              </w:rPr>
              <w:br/>
              <w:t xml:space="preserve">директор ТОВ «Яваре»    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spacing w:before="240" w:after="240" w:line="360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E1317" w:rsidRDefault="002E03BB">
            <w:pPr>
              <w:spacing w:before="240" w:after="240" w:line="360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260"/>
              <w:jc w:val="right"/>
              <w:rPr>
                <w:sz w:val="28"/>
                <w:szCs w:val="28"/>
              </w:rPr>
            </w:pP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Олег ЧЕРЕВАТИЙ</w:t>
            </w:r>
          </w:p>
        </w:tc>
      </w:tr>
    </w:tbl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sz w:val="28"/>
          <w:szCs w:val="28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color w:val="000000"/>
          <w:sz w:val="28"/>
          <w:szCs w:val="28"/>
        </w:rPr>
      </w:pPr>
      <w:r>
        <w:br w:type="page"/>
      </w:r>
    </w:p>
    <w:p w:rsidR="00EE1317" w:rsidRDefault="00EE1317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8"/>
        <w:tblW w:w="978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66"/>
        <w:gridCol w:w="3414"/>
      </w:tblGrid>
      <w:tr w:rsidR="00EE1317">
        <w:trPr>
          <w:trHeight w:val="2505"/>
        </w:trPr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Гарант освітньої програми</w:t>
            </w:r>
            <w:r>
              <w:rPr>
                <w:sz w:val="28"/>
                <w:szCs w:val="28"/>
              </w:rPr>
              <w:br/>
              <w:t>кандидат технічних наук, доцент,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кафедри програмної інженерії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Дмитро МИХАЛИК</w:t>
            </w:r>
          </w:p>
        </w:tc>
      </w:tr>
      <w:tr w:rsidR="00EE1317">
        <w:trPr>
          <w:trHeight w:val="1455"/>
        </w:trPr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фізико-математичних наук, професор,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завідувач кафедри програмної інженерії</w:t>
            </w:r>
          </w:p>
          <w:p w:rsidR="00EE1317" w:rsidRDefault="00EE1317">
            <w:pP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E1317" w:rsidRDefault="002E03BB">
            <w:pP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Михайло ПЕТРИК </w:t>
            </w:r>
          </w:p>
        </w:tc>
      </w:tr>
      <w:tr w:rsidR="00EE1317">
        <w:trPr>
          <w:trHeight w:val="1830"/>
        </w:trPr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кандидат технічних наук, доцент,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доцент кафедри програмної інженерії 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Галина ЦУПРИК</w:t>
            </w:r>
          </w:p>
        </w:tc>
      </w:tr>
      <w:tr w:rsidR="00EE1317">
        <w:trPr>
          <w:trHeight w:val="1830"/>
        </w:trPr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PhD, </w:t>
            </w:r>
          </w:p>
          <w:p w:rsidR="00EE1317" w:rsidRDefault="002E03BB">
            <w:pP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кафедри програмної інженерії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EE1317">
            <w:pP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</w:p>
          <w:p w:rsidR="00EE1317" w:rsidRDefault="002E03BB">
            <w:pP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Іван Мудрик</w:t>
            </w:r>
          </w:p>
        </w:tc>
      </w:tr>
      <w:tr w:rsidR="00EE1317">
        <w:trPr>
          <w:trHeight w:val="1845"/>
        </w:trPr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PhD, </w:t>
            </w:r>
          </w:p>
          <w:p w:rsidR="00EE1317" w:rsidRDefault="002E03BB">
            <w:pP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 кафедри програмної інженерії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Віталій БРЕВУС</w:t>
            </w:r>
          </w:p>
        </w:tc>
      </w:tr>
      <w:tr w:rsidR="00EE1317">
        <w:trPr>
          <w:trHeight w:val="1455"/>
        </w:trPr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ТОВ «СКАЛХАЙФ»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Наталія МАЙЄР-</w:t>
            </w:r>
            <w:r>
              <w:rPr>
                <w:sz w:val="28"/>
                <w:szCs w:val="28"/>
              </w:rPr>
              <w:br/>
              <w:t>ХОМІНСЬКА</w:t>
            </w:r>
          </w:p>
        </w:tc>
      </w:tr>
      <w:tr w:rsidR="00EE1317">
        <w:trPr>
          <w:trHeight w:val="1455"/>
        </w:trPr>
        <w:tc>
          <w:tcPr>
            <w:tcW w:w="636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студентка групи СПм-51</w:t>
            </w: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1317" w:rsidRDefault="002E03BB">
            <w:pPr>
              <w:spacing w:line="276" w:lineRule="auto"/>
              <w:ind w:left="26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Віталій ГУК</w:t>
            </w:r>
          </w:p>
        </w:tc>
      </w:tr>
    </w:tbl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ПЕРЕДМОВА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Розроблено робочою групою (спеціальності F2 «Інженерія програмного забезпечення») у складі: 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966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669"/>
      </w:tblGrid>
      <w:tr w:rsidR="00EE1317">
        <w:trPr>
          <w:trHeight w:val="3542"/>
        </w:trPr>
        <w:tc>
          <w:tcPr>
            <w:tcW w:w="9669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Михалик Дмитро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кандидат технічних наук, доцент, доцент кафедри програмної інженерії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Тернопільського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національного технічного університету імені Івана Пулюя; керівник робочої групи, гарант ОП 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Петрик Михайло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доктор фізико-математичних наук, професор, завідувач кафедри програмної інженерії;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Цуприк Галина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кандидат технічних наук, доцент, доцент кафедри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програмної інженерії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Тернопільського національного технічного університету імені Івана Пулюя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EE1317" w:rsidRDefault="002E03BB">
            <w:pPr>
              <w:tabs>
                <w:tab w:val="left" w:pos="9781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Мудрик Іван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PhD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доцент кафедри програмної інженерії Тернопільського національного технічного університету імені Івана</w:t>
            </w:r>
          </w:p>
          <w:p w:rsidR="00EE1317" w:rsidRDefault="00EE1317">
            <w:pPr>
              <w:tabs>
                <w:tab w:val="left" w:pos="9781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81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Бревус Віталій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PhD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доцент кафедри програмної інженерії Тернопільського національного технічного університету імені Івана Пулюя;</w:t>
            </w:r>
          </w:p>
          <w:p w:rsidR="00EE1317" w:rsidRDefault="002E03BB">
            <w:pPr>
              <w:spacing w:before="240" w:after="240"/>
              <w:ind w:firstLine="7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Майєр-Хомінська Наталія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директор товариства з обмеженою відповідальністю «СКАЛХАЙФ»;</w:t>
            </w:r>
          </w:p>
          <w:p w:rsidR="00EE1317" w:rsidRDefault="002E03BB">
            <w:pPr>
              <w:spacing w:before="240" w:after="240"/>
              <w:ind w:firstLine="7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Гук Віталій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здобувач вищої освіти, група СПм-51, Тернопі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льський національний технічний університет імені Івана Пулюя.</w:t>
            </w:r>
          </w:p>
        </w:tc>
      </w:tr>
    </w:tbl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sz w:val="28"/>
          <w:szCs w:val="28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spacing w:after="240"/>
        <w:ind w:left="709"/>
        <w:jc w:val="both"/>
        <w:rPr>
          <w:color w:val="000000"/>
          <w:sz w:val="28"/>
          <w:szCs w:val="28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after="240"/>
        <w:ind w:left="709"/>
        <w:jc w:val="both"/>
        <w:rPr>
          <w:sz w:val="28"/>
          <w:szCs w:val="28"/>
        </w:rPr>
      </w:pPr>
      <w:r>
        <w:br w:type="page"/>
      </w:r>
    </w:p>
    <w:p w:rsidR="00EE1317" w:rsidRDefault="002E03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1. Профіль освітньої програми зі спеціальності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F2 «Інженерія програмного забезпечення»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tbl>
      <w:tblPr>
        <w:tblStyle w:val="afa"/>
        <w:tblW w:w="1029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105"/>
        <w:gridCol w:w="7590"/>
      </w:tblGrid>
      <w:tr w:rsidR="00EE1317">
        <w:tc>
          <w:tcPr>
            <w:tcW w:w="10290" w:type="dxa"/>
            <w:gridSpan w:val="3"/>
            <w:shd w:val="clear" w:color="auto" w:fill="E7E6E6"/>
            <w:vAlign w:val="center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2" w:name="_heading=h.30j0zll" w:colFirst="0" w:colLast="0"/>
            <w:bookmarkEnd w:id="2"/>
            <w:r>
              <w:rPr>
                <w:b/>
                <w:bCs/>
                <w:color w:val="000000"/>
                <w:sz w:val="28"/>
                <w:szCs w:val="28"/>
              </w:rPr>
              <w:t>1 – Загальна інформація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Повна назва закладу вищої освіти та структурного підрозділу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Тернопільський національний технічний університет імені Івана Пулюя, факультет компʼютерно-інформаційних систем і програмної інженерії, кафедра програмної інженерії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Ступінь вищої освіти та назва кваліфікації мовою оригіналу</w:t>
            </w:r>
          </w:p>
        </w:tc>
        <w:tc>
          <w:tcPr>
            <w:tcW w:w="7590" w:type="dxa"/>
          </w:tcPr>
          <w:p w:rsidR="00EE1317" w:rsidRDefault="002E03BB">
            <w:pPr>
              <w:widowControl w:val="0"/>
              <w:ind w:left="17" w:right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Ступінь вищої освіти - Магістр</w:t>
            </w:r>
          </w:p>
          <w:p w:rsidR="00EE1317" w:rsidRDefault="002E03BB">
            <w:pPr>
              <w:widowControl w:val="0"/>
              <w:ind w:left="17" w:right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Спеціальність – F2 Інженерія програмного забезпечення</w:t>
            </w:r>
          </w:p>
          <w:p w:rsidR="00EE1317" w:rsidRDefault="002E03B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Освітня кваліфікація – магістр з інженерії програмного забезпечення 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Офіційна назва освітньої програми 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Інженерія програмного забезпечення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Тип диплому та обсяг освітньо-професійної програми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Диплом магістра, одиничний, обсяг освітньої програми магістра становить 90  кредитів ЄКТС, термін навчання 1 рік 4 місяці.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Наявність акредитації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МОН України, сертифікат про акредитацію Серія НД № 2087423 від 27 грудня 2013 р., термін дії </w:t>
            </w:r>
            <w:r>
              <w:rPr>
                <w:rFonts w:ascii="Times New Roman" w:eastAsia="Times New Roman" w:hAnsi="Times New Roman" w:cs="Times New Roman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01 липня 202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Цикл/рівень 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НРК України – 7 рівень, QF-EHEA– другий цикл, EQF LLL – 7 рівень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Передумови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Наявність освітнього рівня «бакалавр» (або </w:t>
            </w:r>
            <w:r>
              <w:rPr>
                <w:rFonts w:ascii="Times New Roman" w:eastAsia="Times New Roman" w:hAnsi="Times New Roman" w:cs="Times New Roman"/>
              </w:rPr>
              <w:t>освітньо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-кваліфікацій</w:t>
            </w:r>
            <w:r>
              <w:rPr>
                <w:rFonts w:ascii="Times New Roman" w:eastAsia="Times New Roman" w:hAnsi="Times New Roman" w:cs="Times New Roman"/>
              </w:rPr>
              <w:t>ного рівня спеціаліста)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Мова(и) викладання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Українська мова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Термін дії освітньо-про</w:t>
            </w:r>
            <w:r>
              <w:rPr>
                <w:b/>
                <w:bCs/>
                <w:color w:val="000000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есійної програми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 повного завершення періоду навчання або наступного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оновлення програми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Інтернет-адреса постійного розміщення опису освітньо-професійної програми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https://tntu.edu.ua/?p=uk/structure/faculties/fis</w:t>
            </w:r>
          </w:p>
        </w:tc>
      </w:tr>
      <w:tr w:rsidR="00EE1317"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3" w:name="_heading=h.1fob9te" w:colFirst="0" w:colLast="0"/>
            <w:bookmarkEnd w:id="3"/>
            <w:r>
              <w:rPr>
                <w:b/>
                <w:bCs/>
                <w:color w:val="000000"/>
                <w:sz w:val="28"/>
                <w:szCs w:val="28"/>
              </w:rPr>
              <w:t>2 – Мета освітньо-професійної програми</w:t>
            </w:r>
          </w:p>
        </w:tc>
      </w:tr>
      <w:tr w:rsidR="00EE1317">
        <w:tc>
          <w:tcPr>
            <w:tcW w:w="10290" w:type="dxa"/>
            <w:gridSpan w:val="3"/>
            <w:vAlign w:val="center"/>
          </w:tcPr>
          <w:p w:rsidR="00EE1317" w:rsidRDefault="002E03BB">
            <w:pP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Підготовка висококваліфікованих магістрів, здатних ставити та виконувати виробничі завдання щодо проєктування, розробки, забезпечення якості, впровадження та управління програмних проєктів, що передбачає проведення досліджень та/або здійснення інновацій в</w:t>
            </w:r>
            <w:r>
              <w:rPr>
                <w:rFonts w:ascii="Times New Roman" w:eastAsia="Times New Roman" w:hAnsi="Times New Roman" w:cs="Times New Roman"/>
              </w:rPr>
              <w:t xml:space="preserve"> умовах невизначеністю вимог у відповідності з сучасними стандартами галузі.</w:t>
            </w:r>
          </w:p>
        </w:tc>
      </w:tr>
      <w:tr w:rsidR="00EE1317"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4" w:name="_heading=h.3znysh7" w:colFirst="0" w:colLast="0"/>
            <w:bookmarkEnd w:id="4"/>
            <w:r>
              <w:rPr>
                <w:b/>
                <w:bCs/>
                <w:color w:val="000000"/>
                <w:sz w:val="28"/>
                <w:szCs w:val="28"/>
              </w:rPr>
              <w:t>3 – Характеристика освітньо-професійної програми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Предметна область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(галузь знань,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пеціальність) 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Галузь знань F «Інформаційні технології»,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Спеціальність F2 «Інженерія програмного забезпечення»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Опис предметної області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Об’єкт вивчення та діяльності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процеси розроблення, модифікації, аналізу, забезпечення якості, впровадження та супровід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Цілі навчання: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підготовка фахів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ців, які здатні ставити, розв’язувати складні задачі і проблеми з розроблення, забезпечення якості, впровадження та супроводу програмних засобів, що передбачає проведення досліджень та/або здійснення інновацій та характеризується невизначеністю умов і вимо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Теоретичний зміст предметної області: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базові математичні, інфологічні, лінгвістичні, економічні концептуальні положення щодо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розроблення і супроводу програмного забезпечення та забезпечення його якості.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Методи, методики та технології: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методи аналізу та моделювання прикладної області, виявлення інформаційних потреб, класифікації та аналізу даних для проектування програмного забезпечення; методи розроблення вимог до програмного забезпечення; методи аналізу і побудови моделей програмного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забезпечення; методи проектування, конструювання, інтеграції, тестування та верифікації програмного забезпечення; методи модифікації компонентів і даних програмного забезпечення; моделі і методи надійності та якості в програмній інженерії; методи управлінн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я проектами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Інструменти та обладнання: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програмно-апаратні та хмарні засоби підтримки процесів інженерії програмного забезпечення.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Орієнтація освітньої програми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Освітньо-професійна ОПП ОКР «Магістр» розроблено для студентів, що планують поглиблювати свої знання у сфері розробки та супроводу ПЗ.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Головною перевагою ОПП підготовки магістра є орієнтація на вивчення сучасних підходів </w:t>
            </w:r>
            <w:r>
              <w:rPr>
                <w:rFonts w:ascii="Times New Roman" w:eastAsia="Times New Roman" w:hAnsi="Times New Roman" w:cs="Times New Roman"/>
              </w:rPr>
              <w:t>до розробки програмного забезпеченн</w:t>
            </w:r>
            <w:r>
              <w:rPr>
                <w:rFonts w:ascii="Times New Roman" w:eastAsia="Times New Roman" w:hAnsi="Times New Roman" w:cs="Times New Roman"/>
              </w:rPr>
              <w:t xml:space="preserve">я та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формування широкого науково-технічного світогляду </w:t>
            </w:r>
            <w:r>
              <w:rPr>
                <w:rFonts w:ascii="Times New Roman" w:eastAsia="Times New Roman" w:hAnsi="Times New Roman" w:cs="Times New Roman"/>
              </w:rPr>
              <w:t>у сфері інженерії програмного забезпечення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Основний фокус освітньо-професійної програми та спеціалізації</w:t>
            </w:r>
          </w:p>
        </w:tc>
        <w:tc>
          <w:tcPr>
            <w:tcW w:w="7590" w:type="dxa"/>
          </w:tcPr>
          <w:p w:rsidR="00EE1317" w:rsidRDefault="002E03BB">
            <w:pPr>
              <w:ind w:left="1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Загальна вища освіта другого (магістерського) рівня в галузі F Інформаційні технології за спец</w:t>
            </w:r>
            <w:r>
              <w:rPr>
                <w:rFonts w:ascii="Times New Roman" w:eastAsia="Times New Roman" w:hAnsi="Times New Roman" w:cs="Times New Roman"/>
              </w:rPr>
              <w:t>іальністю F2 Інженерія програмного забезпечення з акцентом на застосування міждисциплінарного підходу, для ефективного досягнення цілей, сталого розвитку та технологій проєктування і розробки складних інтелектуальних інформаційних систем  з урахуванням спе</w:t>
            </w:r>
            <w:r>
              <w:rPr>
                <w:rFonts w:ascii="Times New Roman" w:eastAsia="Times New Roman" w:hAnsi="Times New Roman" w:cs="Times New Roman"/>
              </w:rPr>
              <w:t>цифіки  предметних областей та умов невизначеності на всіх етапах життєвого циклу програмного забезпечення.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Ключові слова: </w:t>
            </w:r>
            <w:r>
              <w:rPr>
                <w:rFonts w:ascii="Times New Roman" w:eastAsia="Times New Roman" w:hAnsi="Times New Roman" w:cs="Times New Roman"/>
              </w:rPr>
              <w:t>інтелектуальні інформаційні системи, розробка інноваційні програмних продуктів, сталий розвиток, технології підтримки прийняття рішень, вимоги користувачів, проєктування програмних систем, програмні інтерфейси та компоненти, якість програмного продукту, оц</w:t>
            </w:r>
            <w:r>
              <w:rPr>
                <w:rFonts w:ascii="Times New Roman" w:eastAsia="Times New Roman" w:hAnsi="Times New Roman" w:cs="Times New Roman"/>
              </w:rPr>
              <w:t>інка ризиків проєкту, життєвий цикл, управління програмними проєктами.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Особливості програми</w:t>
            </w:r>
          </w:p>
        </w:tc>
        <w:tc>
          <w:tcPr>
            <w:tcW w:w="7590" w:type="dxa"/>
          </w:tcPr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Програма забезпечує практичний досвід із застосуванням передових методологій і технологій для проєктування інноваційних інформаційних систем, через використання ел</w:t>
            </w:r>
            <w:r>
              <w:rPr>
                <w:rFonts w:ascii="Times New Roman" w:eastAsia="Times New Roman" w:hAnsi="Times New Roman" w:cs="Times New Roman"/>
              </w:rPr>
              <w:t>ементів формальної, інформальної та дуальної освіти, участь у міжнародних освітніх проєктах, а також інтенсивні практики та стажування на базах IT-компаній, сприяючи розвитку кваліфікації магістра з інженерії програмного забезпечення.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Націлена на підготовк</w:t>
            </w:r>
            <w:r>
              <w:rPr>
                <w:rFonts w:ascii="Times New Roman" w:eastAsia="Times New Roman" w:hAnsi="Times New Roman" w:cs="Times New Roman"/>
              </w:rPr>
              <w:t>у висококваліфікованих фахівців, здатних ставити  та виконувати виробничі завдання щодо розробки, забезпечення якості, впровадження та супроводу інноваційних програмних проєктів в умовах невизначеності вимог.</w:t>
            </w:r>
          </w:p>
        </w:tc>
      </w:tr>
      <w:tr w:rsidR="00EE1317"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5" w:name="_heading=h.2et92p0" w:colFirst="0" w:colLast="0"/>
            <w:bookmarkEnd w:id="5"/>
            <w:r>
              <w:rPr>
                <w:b/>
                <w:bCs/>
                <w:color w:val="000000"/>
                <w:sz w:val="28"/>
                <w:szCs w:val="28"/>
              </w:rPr>
              <w:t xml:space="preserve">4 – Придатність випускників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до працевлаштування та подальшого навчання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Придатність до працевлаштування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Область професійної діяльності – розробка програмних продуктів, технологій та засобів розроблення програмного забезпечення, наукові дослідження, викладацька, експертна та консультативна діяльність у сфері інженерії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Магістри мають </w:t>
            </w:r>
            <w:r>
              <w:rPr>
                <w:rFonts w:ascii="Times New Roman" w:eastAsia="Times New Roman" w:hAnsi="Times New Roman" w:cs="Times New Roman"/>
              </w:rPr>
              <w:t xml:space="preserve">змогу працювати розробниками складних інформаційних систем та програмного забезпечення у різних сферах, архітекторами програмних систем (Software Architect), керівниками команд розробників (Team Lead), розробниками програмного забезпечення (Software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Engine</w:t>
            </w:r>
            <w:r>
              <w:rPr>
                <w:rFonts w:ascii="Times New Roman" w:eastAsia="Times New Roman" w:hAnsi="Times New Roman" w:cs="Times New Roman"/>
              </w:rPr>
              <w:t xml:space="preserve">er), інженерами із забезпечення якості та тестування програмного забезпечення (QA), розробниками та аналітиками надвеликих сховищ даних, DevOps-інженерами тощо,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працевлаштуватися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 посади з наступною назвою професійної роботи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згідно з Національним класиф</w:t>
            </w:r>
            <w:r>
              <w:rPr>
                <w:rFonts w:ascii="Times New Roman" w:eastAsia="Times New Roman" w:hAnsi="Times New Roman" w:cs="Times New Roman"/>
              </w:rPr>
              <w:t>ікатором професій ДК 003:2010: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2131.2 – Аналітик програмного забезпечення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2131.2 – Інженер з програмного забезпечення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2131.2 – Розробник штучного інтелекту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33333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2131.2 –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Розробник</w:t>
            </w:r>
            <w:r>
              <w:rPr>
                <w:rFonts w:ascii="Times New Roman" w:eastAsia="Times New Roman" w:hAnsi="Times New Roman" w:cs="Times New Roman"/>
                <w:color w:val="333333"/>
                <w:highlight w:val="white"/>
              </w:rPr>
              <w:t xml:space="preserve"> програмного забезпечення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2132.2 – Програміст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highlight w:val="white"/>
              </w:rPr>
              <w:t xml:space="preserve">2132.2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–</w:t>
            </w:r>
            <w:r>
              <w:rPr>
                <w:rFonts w:ascii="Times New Roman" w:eastAsia="Times New Roman" w:hAnsi="Times New Roman" w:cs="Times New Roman"/>
                <w:color w:val="333333"/>
                <w:highlight w:val="white"/>
              </w:rPr>
              <w:t xml:space="preserve"> Розробник архітектури про</w:t>
            </w:r>
            <w:r>
              <w:rPr>
                <w:rFonts w:ascii="Times New Roman" w:eastAsia="Times New Roman" w:hAnsi="Times New Roman" w:cs="Times New Roman"/>
                <w:color w:val="333333"/>
                <w:highlight w:val="white"/>
              </w:rPr>
              <w:t>грамного забезпечення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2132.2 – Розробник програмного забезпечення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2132.2 – Розробник хмарної архітектури</w:t>
            </w:r>
          </w:p>
          <w:p w:rsidR="00EE1317" w:rsidRDefault="002E03BB">
            <w:pP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2131.1 – Молодший науковий співробітник (програмування).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 xml:space="preserve">Подальше навчання 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Здобуття освіти за третім (освітньо-науковим) рівнем вищої освіти. Набуття додаткових кваліфікацій у системі післядипломної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освіти.</w:t>
            </w:r>
          </w:p>
        </w:tc>
      </w:tr>
      <w:tr w:rsidR="00EE1317"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6" w:name="_heading=h.tyjcwt" w:colFirst="0" w:colLast="0"/>
            <w:bookmarkEnd w:id="6"/>
            <w:r>
              <w:rPr>
                <w:b/>
                <w:bCs/>
                <w:color w:val="000000"/>
                <w:sz w:val="28"/>
                <w:szCs w:val="28"/>
              </w:rPr>
              <w:t>5 – Викладання та оцінювання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Викладання та навчання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Студенто-центроване навчання, технологія проблематико-орієнтованого навчання, комбінація лекційних і практичних занять із розв’язанням ситуаційних завдань, які розвивають аналітичні здібності та навички роботи в колективі, самостійне навчання студентів. Бі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льша частина навчання відбувається в малих групах з дискусіями та підготовкою презентацій виконаних завдань самостійно та/або в </w:t>
            </w:r>
            <w:r>
              <w:rPr>
                <w:rFonts w:ascii="Times New Roman" w:eastAsia="Times New Roman" w:hAnsi="Times New Roman" w:cs="Times New Roman"/>
              </w:rPr>
              <w:t>командах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Здобуття практичних навичок забезпечується проходженням практик. Написання студентами-магістрами індивідуальних КР та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КП з предметів відповідно до навчального плану. Обов’язковим елементом навчання є написання та захист кваліфікаційної роботи.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Оцінювання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Оцінювання успішності навчання здобувачів вищої освіти в університеті здійснюється за 100-бальною (рейтинговою) систем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ою, національною шкалою («відмінно», «добре», «задовільно», «незадовільно»; «зараховано», «не зараховано») і Європейською кредитною трансферно-накопичувальною системою (ECTS – «А», «B», «C», «D», «E», «FХ», «F»). Види контролю: попередній, поточний, підсум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ковий, самоконтроль. Можливий ректорський контроль. Форми контролю: усне та письмове опитування, тестування, захист звітів з практик, презентації виконаних завдань. Атестація у формі публічного захисту кваліфікаційної роботи.</w:t>
            </w:r>
          </w:p>
        </w:tc>
      </w:tr>
      <w:tr w:rsidR="00EE1317"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7" w:name="_heading=h.3dy6vkm" w:colFirst="0" w:colLast="0"/>
            <w:bookmarkEnd w:id="7"/>
            <w:r>
              <w:rPr>
                <w:b/>
                <w:bCs/>
                <w:color w:val="000000"/>
                <w:sz w:val="28"/>
                <w:szCs w:val="28"/>
              </w:rPr>
              <w:t>6 – Програмні компетентності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Інтегральна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компетентність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Здатність особи розв’язувати складні задачі і проблеми у певній галузі професійної діяльності або у процесі навчання, що передбачає проведення досліджень та/або здійснення інновацій та характеризується невизначеністю умов та вимог.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Загальні компетентності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(ЗК)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ЗК01. Здатність до абстрактного мислення, аналізу та синтезу.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ЗК02. Здатність спілкуватися іноземною мовою як усно, так і письмово.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ЗК03. Здатність проводити дослідження на відповідному рівні.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ЗК04. Здатність спілкуватися з представниками інших професійних груп різного рівня (з експертами інших галузей знань/видів економічної діяльності).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ЗК05. Здатність генерувати нові ідеї (креативність).</w:t>
            </w:r>
          </w:p>
        </w:tc>
      </w:tr>
      <w:tr w:rsidR="00EE1317">
        <w:tc>
          <w:tcPr>
            <w:tcW w:w="270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Спеціальні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(фахові, предметні) компетентності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(СК)</w:t>
            </w:r>
          </w:p>
        </w:tc>
        <w:tc>
          <w:tcPr>
            <w:tcW w:w="7590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СК01. Здатність аналізувати предметні області, формувати, класифікувати вимоги до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СК02. Здатність розробляти і реалізовувати наукові та/або прикладні проєкти у сфері інженерії програмного забезпечення.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СК03. Здатність проєктувати архітектуру програмного забезпечення, моделювати процеси функціонування окремих підсистем і модулів.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СК04. Здатність розвивати і реалізовувати нові конкурентоспроможні ідеї в інженерії програмного забезпечення.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СК05. Здатність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розробляти, аналізувати та застосовувати специфікації, стандарти, правила і рекомендації в сфері інженерії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СК06. Здатність ефективно керувати фінансовими, людськими, технічними та іншими проєктними ресурсами у сфері інженерії прог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СК07. Здатність критично осмислювати проблеми у галузі інформаційних технологій та на межі галузей знань, інтегрувати відповідні знання та розв’язувати складні задачі у широких або мультидисциплінарних контекстах.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СК08. Здатність розр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обляти і координувати процеси, етапи та ітерації життєвого циклу програмного забезпечення на основі застосування сучасних моделей, методів та технологій розроблення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СК09. Здатність забезпечувати якість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10*. Здатність розробляти інноваційне програмне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СК* - спеціальна компетентність, запропонована стейкхолдерами.</w:t>
            </w:r>
          </w:p>
        </w:tc>
      </w:tr>
      <w:tr w:rsidR="00EE1317">
        <w:trPr>
          <w:trHeight w:val="176"/>
        </w:trPr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8" w:name="_heading=h.1t3h5sf" w:colFirst="0" w:colLast="0"/>
            <w:bookmarkEnd w:id="8"/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7 – Програмні результати навчання</w:t>
            </w:r>
          </w:p>
        </w:tc>
      </w:tr>
      <w:tr w:rsidR="00EE1317">
        <w:trPr>
          <w:trHeight w:val="176"/>
        </w:trPr>
        <w:tc>
          <w:tcPr>
            <w:tcW w:w="2595" w:type="dxa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695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РН01 Знати і застосовувати сучасні професійні стандарти і інші </w:t>
            </w:r>
            <w:r>
              <w:rPr>
                <w:rFonts w:ascii="Times New Roman" w:eastAsia="Times New Roman" w:hAnsi="Times New Roman" w:cs="Times New Roman"/>
              </w:rPr>
              <w:t>нормативно правові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документи з інженерії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РН02 Оцінювати і вибирати ефективні методи і моделі розроблення, впровадження, супроводу програмного забезпечення та управління відповідними процесами на всіх етапах життєвого циклу.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РН03 Будувати і досліджу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вати моделі інформаційних процесів у прикладній області.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РН04 Виявляти інформаційні потреби і класифікувати дані для проєктування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РН05 Розробляти, аналізувати, обґрунтовувати та систематизувати вимоги до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РН06 Розробляти і оцінювати стратегії проєктування програмних засобів; обґрунтовувати, аналізувати і оцінювати варіанти проектних рішень з точки зору якості кінцевого програмного продукту, ресурсних обмежень та інших факторів.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РН07 Аналізувати, оцінювати 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застосовувати на системному рівні сучасні програмні та апаратні платформи для розв’язання складних задач інженерії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РН08 Розробляти і модифікувати архітектуру програмного забезпечення для реалізації вимог замовника.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РН09 Обґрунтов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ано вибирати парадигми і мови програмування для розроблення програмного забезпечення; застосовувати на практиці сучасні засоби розроблення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РН10 Модифікувати існуючі та розробляти нові алгоритмічні рішення детального проєктування 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РН11 Забезпечувати якість на всіх стадіях життєвого циклу програмного забезпечення, у тому числі з використанням релевантних моделей та методів оцінювання, а також засобів автоматизованого тестування і верифікації програмного забез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РН12 Приймати ефективні організаційно-управлінські рішення в умовах невизначеності та зміни вимог, порівнювати альтернативи, оцінювати ризики.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РН13 Конфігурувати програмне забезпечення, керувати його змінами та розробленням програмної документації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 всіх етапах життєвого циклу.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РН14 Прогнозувати розвиток програмних систем та інформаційних технологій.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РН15 Здійснювати реінжиніринг програмного забезпечення відповідно до вимог замовника.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РН16 Планувати, організовувати та здійснювати тестування, верифікацію та валідацію програмного забезпечення.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РН17 Збирати, аналізувати, оцінювати необхідну для розв’язання наукових і прикладних задач інформацію, використовуючи науково-технічну літературу,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бази даних та інші джерела.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</w:rPr>
              <w:t>Володіти критеріями успішності розробки інноваційного програмного забезпечення в цілях визначення інвестиційної привабливості проєктів.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РН* - результат навчання, запропонований стейкхолдерами</w:t>
            </w:r>
          </w:p>
        </w:tc>
      </w:tr>
      <w:tr w:rsidR="00EE1317">
        <w:trPr>
          <w:trHeight w:val="176"/>
        </w:trPr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9" w:name="_heading=h.4d34og8" w:colFirst="0" w:colLast="0"/>
            <w:bookmarkEnd w:id="9"/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8 – Ресурсне забезпечення реалізації програми</w:t>
            </w:r>
          </w:p>
        </w:tc>
      </w:tr>
      <w:tr w:rsidR="00EE1317">
        <w:trPr>
          <w:trHeight w:val="176"/>
        </w:trPr>
        <w:tc>
          <w:tcPr>
            <w:tcW w:w="2595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Кадрове забезпечення</w:t>
            </w:r>
          </w:p>
        </w:tc>
        <w:tc>
          <w:tcPr>
            <w:tcW w:w="7695" w:type="dxa"/>
            <w:gridSpan w:val="2"/>
          </w:tcPr>
          <w:p w:rsidR="00EE1317" w:rsidRDefault="002E03BB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>Відповідно до затверджених Ліцензійних умов провадження освітньої діяльності (затверджених Постановою Кабінету Міністрів України від 30.12.2015 р. № 1187 в чинній редакції) реалізація освітньої програми забезпечується кадрами високої кваліфікації з наукови</w:t>
            </w:r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>ми ступенями та вченими званнями із залученням до викладання фахівців ІТ-компаній.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Науково-педагогічні працівники (далі – НПП), які здійснюють викладання на даній ОПП, мають наукові ступені доктора філософії (PhD), кандидата чи доктора наук і підтверджений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рівень наукової та професійної активності; пройшли науково-педагогічні стажування на Україні та\або за кордоном; керували науковим стажуванням викладачів ВНЗ України; брали участь у виконанні наукових та освітніх проєктів. Викладачі освітніх компонент за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ОПП є/були керівниками та виконавцями ряду науково-дослідних робіт, членами спеціалізованих вчених рад, членами редколегій провідних вітчизняних наукових фахових видань, експертами Національного </w:t>
            </w:r>
            <w:r>
              <w:rPr>
                <w:rFonts w:ascii="Times New Roman" w:eastAsia="Times New Roman" w:hAnsi="Times New Roman" w:cs="Times New Roman"/>
              </w:rPr>
              <w:t>агентства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із забезпечення якості вищої освіти, Експертної Рад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МОН, громадських та ін. організацій, Стипендіатами Кабінету Міністрів України, організаторами та членами програмних і наукових комітетів конференцій міжнародного рівня, здійснюють консультування та керівництво магістерськими роботами.</w:t>
            </w:r>
          </w:p>
        </w:tc>
      </w:tr>
      <w:tr w:rsidR="00EE1317">
        <w:trPr>
          <w:trHeight w:val="176"/>
        </w:trPr>
        <w:tc>
          <w:tcPr>
            <w:tcW w:w="2595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Матеріально-технічне забезпечення</w:t>
            </w:r>
          </w:p>
        </w:tc>
        <w:tc>
          <w:tcPr>
            <w:tcW w:w="7695" w:type="dxa"/>
            <w:gridSpan w:val="2"/>
          </w:tcPr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Матеріально-технічна база кафедри програмної інженерії знаходиться у складі факультету комп’ютерно-інформаційних систем і програмної інженерії ТНТУ, володіє достатнім аудиторним фондом. Лабораторні й практичні роботи прово</w:t>
            </w:r>
            <w:r>
              <w:rPr>
                <w:rFonts w:ascii="Times New Roman" w:eastAsia="Times New Roman" w:hAnsi="Times New Roman" w:cs="Times New Roman"/>
              </w:rPr>
              <w:t>дяться у власних лабораторіях кафедри програмної інженерії у корпусі №1 та №2 ТНТУ ім. І. Пулюя.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Відповідно до Технологічних вимог провадження освітньої діяльності для освітніх програм на відповідному рівні вищої освіти  (затверджених Постановою Кабінету М</w:t>
            </w:r>
            <w:r>
              <w:rPr>
                <w:rFonts w:ascii="Times New Roman" w:eastAsia="Times New Roman" w:hAnsi="Times New Roman" w:cs="Times New Roman"/>
              </w:rPr>
              <w:t>іністрів України від 30.12.2015 р. № 1187 в чинній редакції).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Для дистанційної та змішаної форм навчання додатково забезпечуються вимоги до кадрового і навчально-методичного забезпечення дистанційної форми навчання, а також створено і функціонує система уп</w:t>
            </w:r>
            <w:r>
              <w:rPr>
                <w:rFonts w:ascii="Times New Roman" w:eastAsia="Times New Roman" w:hAnsi="Times New Roman" w:cs="Times New Roman"/>
              </w:rPr>
              <w:t xml:space="preserve">равління навчанням (Learning Management System) “ATutor” (https://dl.tntu.edu.ua/). </w:t>
            </w:r>
          </w:p>
        </w:tc>
      </w:tr>
      <w:tr w:rsidR="00EE1317">
        <w:trPr>
          <w:trHeight w:val="176"/>
        </w:trPr>
        <w:tc>
          <w:tcPr>
            <w:tcW w:w="2595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Інформаційне та навчально-методичне забезпечення</w:t>
            </w:r>
          </w:p>
        </w:tc>
        <w:tc>
          <w:tcPr>
            <w:tcW w:w="7695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Використання інформаційно-освітньої системи електронного навчання ТНТУ «Atutor»; матеріалів, розміщених в інституційному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репозитарії університету ELARTU; електронного каталогу бібліотеки; навчальних матеріалів у традиційній (паперовій) формі у приміщеннях бібліотеки університету; вітчизняних та закордонних фахових періодичних видань у друкованому та електронному доступі, у 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.ч. до баз даних англомовних періодичних наукових видань (зокрема, Scopus і Web of Science); забезпечення доступу до Інтернет за допомогою Wi-Fi або інших технологій в основних навчальних, лабораторних, бібліотечних приміщеннях, гуртожитках; офіційного веб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-сайту університету та його структурних підрозділів.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  <w:color w:val="22222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Відповідно до Технологічних вимог провадження освітньої діяльності для освітніх програм на відповідному рівні вищої освіти  (затвердже</w:t>
            </w:r>
            <w:r>
              <w:rPr>
                <w:rFonts w:ascii="Times New Roman" w:eastAsia="Times New Roman" w:hAnsi="Times New Roman" w:cs="Times New Roman"/>
                <w:color w:val="222222"/>
              </w:rPr>
              <w:t>них Постановою Кабінету Міністрів України від 30.12.2015 р. № 1187 в чинній редакції).</w:t>
            </w:r>
          </w:p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Фонд науково-технічної бібліотеки ТНТУ імені Івана Пулюя,  внесений і до електронного каталогу, що забезпечує пошук літератури по назві книги, прізвищу автора, видавництву, анотації, авторському знаку та УДК.</w:t>
            </w:r>
          </w:p>
        </w:tc>
      </w:tr>
      <w:tr w:rsidR="00EE1317">
        <w:trPr>
          <w:trHeight w:val="176"/>
        </w:trPr>
        <w:tc>
          <w:tcPr>
            <w:tcW w:w="10290" w:type="dxa"/>
            <w:gridSpan w:val="3"/>
          </w:tcPr>
          <w:p w:rsidR="00EE1317" w:rsidRDefault="002E03BB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8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10" w:name="_heading=h.2s8eyo1" w:colFirst="0" w:colLast="0"/>
            <w:bookmarkEnd w:id="10"/>
            <w:r>
              <w:rPr>
                <w:b/>
                <w:bCs/>
                <w:color w:val="000000"/>
                <w:sz w:val="28"/>
                <w:szCs w:val="28"/>
              </w:rPr>
              <w:t>9 – Академічна мобільність</w:t>
            </w:r>
          </w:p>
        </w:tc>
      </w:tr>
      <w:tr w:rsidR="00EE1317">
        <w:trPr>
          <w:trHeight w:val="176"/>
        </w:trPr>
        <w:tc>
          <w:tcPr>
            <w:tcW w:w="2595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Національна кредитна мобільність</w:t>
            </w:r>
          </w:p>
        </w:tc>
        <w:tc>
          <w:tcPr>
            <w:tcW w:w="7695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Індивідуальна академічна мобільність реалізується у рамках міжуніверситетських двосторонніх угод про встановлення науково-освітянських відносин для задоволення потреб розвитку освіти і науки. Допускається перезарахування кр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едитів, отриманих у інших університетах України, за умови відповідності їх набутих компетентностей.</w:t>
            </w:r>
          </w:p>
        </w:tc>
      </w:tr>
      <w:tr w:rsidR="00EE1317">
        <w:trPr>
          <w:trHeight w:val="176"/>
        </w:trPr>
        <w:tc>
          <w:tcPr>
            <w:tcW w:w="2595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Міжнародні кредитна мобільність</w:t>
            </w:r>
          </w:p>
        </w:tc>
        <w:tc>
          <w:tcPr>
            <w:tcW w:w="7695" w:type="dxa"/>
            <w:gridSpan w:val="2"/>
          </w:tcPr>
          <w:p w:rsidR="00EE1317" w:rsidRDefault="002E03B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t xml:space="preserve">Реалізована на основі двосторонніх угод про міжнародну академічну мобільність між закордонними освітніми закладами </w:t>
            </w:r>
            <w:r>
              <w:rPr>
                <w:rFonts w:ascii="Times New Roman" w:eastAsia="Times New Roman" w:hAnsi="Times New Roman" w:cs="Times New Roman"/>
              </w:rPr>
              <w:t>та ТНТУ,</w:t>
            </w:r>
            <w:r>
              <w:rPr>
                <w:rFonts w:ascii="Times New Roman" w:eastAsia="Times New Roman" w:hAnsi="Times New Roman" w:cs="Times New Roman"/>
              </w:rPr>
              <w:t xml:space="preserve"> у межах яких здобувачі другого (магістерського) рівня вищої освіти за даною ОПП мають можливість навчатися за програмами подвійного дипломування у ЗВО-партнерах за кордоном, брати участь у програмі академічної мобільності Еразмус+ або проходити практики т</w:t>
            </w:r>
            <w:r>
              <w:rPr>
                <w:rFonts w:ascii="Times New Roman" w:eastAsia="Times New Roman" w:hAnsi="Times New Roman" w:cs="Times New Roman"/>
              </w:rPr>
              <w:t>а наукові стажування за кордоном, у міжнародній рамковій програмі ЄС Horizon 2020 та міжнародних освітніх програмах ЄС Tempus.</w:t>
            </w:r>
          </w:p>
        </w:tc>
      </w:tr>
      <w:tr w:rsidR="00EE1317">
        <w:trPr>
          <w:trHeight w:val="176"/>
        </w:trPr>
        <w:tc>
          <w:tcPr>
            <w:tcW w:w="2595" w:type="dxa"/>
            <w:tcBorders>
              <w:bottom w:val="single" w:sz="4" w:space="0" w:color="000000"/>
            </w:tcBorders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Навчання іноземних здобувачів вищої освіти</w:t>
            </w:r>
          </w:p>
        </w:tc>
        <w:tc>
          <w:tcPr>
            <w:tcW w:w="7695" w:type="dxa"/>
            <w:gridSpan w:val="2"/>
            <w:tcBorders>
              <w:bottom w:val="single" w:sz="4" w:space="0" w:color="000000"/>
            </w:tcBorders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Навчання іноземних студентів може проводиться на загальних умовах або за індивідуальн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им графіком </w:t>
            </w:r>
          </w:p>
        </w:tc>
      </w:tr>
    </w:tbl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Перелік компонент освітньо-професійної програми та їх логічна послідовність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2.1. Перелік компонент ОП</w:t>
      </w:r>
    </w:p>
    <w:tbl>
      <w:tblPr>
        <w:tblStyle w:val="afb"/>
        <w:tblW w:w="1076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2"/>
        <w:gridCol w:w="5324"/>
        <w:gridCol w:w="1972"/>
        <w:gridCol w:w="2338"/>
      </w:tblGrid>
      <w:tr w:rsidR="00EE1317">
        <w:trPr>
          <w:jc w:val="center"/>
        </w:trPr>
        <w:tc>
          <w:tcPr>
            <w:tcW w:w="1132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Код ОК</w:t>
            </w:r>
          </w:p>
        </w:tc>
        <w:tc>
          <w:tcPr>
            <w:tcW w:w="532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Компоненти освітньо-професійної програми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(навчальні дисципліни, практики, 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кваліфікаційна робота)</w:t>
            </w:r>
          </w:p>
        </w:tc>
        <w:tc>
          <w:tcPr>
            <w:tcW w:w="1972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Кількість кредитів 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Форма підсумкового контролю</w:t>
            </w:r>
          </w:p>
        </w:tc>
      </w:tr>
      <w:tr w:rsidR="00EE1317">
        <w:trPr>
          <w:jc w:val="center"/>
        </w:trPr>
        <w:tc>
          <w:tcPr>
            <w:tcW w:w="1132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32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72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276"/>
                <w:tab w:val="left" w:pos="-284"/>
                <w:tab w:val="left" w:pos="-142"/>
              </w:tabs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EE1317">
        <w:trPr>
          <w:jc w:val="center"/>
        </w:trPr>
        <w:tc>
          <w:tcPr>
            <w:tcW w:w="10766" w:type="dxa"/>
            <w:gridSpan w:val="4"/>
            <w:shd w:val="clear" w:color="auto" w:fill="D9D9D9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Обов’язкові компоненти ОПП</w:t>
            </w:r>
          </w:p>
        </w:tc>
      </w:tr>
      <w:tr w:rsidR="00EE1317">
        <w:trPr>
          <w:jc w:val="center"/>
        </w:trPr>
        <w:tc>
          <w:tcPr>
            <w:tcW w:w="10766" w:type="dxa"/>
            <w:gridSpan w:val="4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Цикл Загальної підготовки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Іноземна мова фахового спрямування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</w:t>
            </w:r>
          </w:p>
        </w:tc>
      </w:tr>
      <w:tr w:rsidR="00EE1317">
        <w:trPr>
          <w:jc w:val="center"/>
        </w:trPr>
        <w:tc>
          <w:tcPr>
            <w:tcW w:w="10766" w:type="dxa"/>
            <w:gridSpan w:val="4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Цикл Професійної підготовки</w:t>
            </w:r>
          </w:p>
        </w:tc>
      </w:tr>
      <w:tr w:rsidR="00EE1317">
        <w:trPr>
          <w:jc w:val="center"/>
        </w:trPr>
        <w:tc>
          <w:tcPr>
            <w:tcW w:w="10766" w:type="dxa"/>
            <w:gridSpan w:val="4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Професійна підготовка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Інженерія вимог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Об’єктне моделювання програмного забезпечення на основі OCL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екзамен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Об’єктні технології та інструментальні засоби конструювання програмного забезпечення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екзамен (КП)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Раціональний уніфікований процес проектування програмного забезпечення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 (КП) / екзамен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Розробка та застосування кіберфізичних систем</w:t>
            </w:r>
          </w:p>
        </w:tc>
        <w:tc>
          <w:tcPr>
            <w:tcW w:w="1972" w:type="dxa"/>
          </w:tcPr>
          <w:p w:rsidR="00EE1317" w:rsidRDefault="002E03B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2338" w:type="dxa"/>
          </w:tcPr>
          <w:p w:rsidR="00EE1317" w:rsidRDefault="002E03BB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залік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Техніко-економічне обґрунтування програмних проектів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 / залік (КР)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Управління ІТ-проектами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Фахова</w:t>
            </w:r>
            <w:r>
              <w:rPr>
                <w:color w:val="000000"/>
              </w:rPr>
              <w:t xml:space="preserve"> практика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 (диф.)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Практика за темою кваліфікаційної роботи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,0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залік (диф.)</w:t>
            </w:r>
          </w:p>
        </w:tc>
      </w:tr>
      <w:tr w:rsidR="00EE1317">
        <w:trPr>
          <w:jc w:val="center"/>
        </w:trPr>
        <w:tc>
          <w:tcPr>
            <w:tcW w:w="1132" w:type="dxa"/>
          </w:tcPr>
          <w:p w:rsidR="00EE1317" w:rsidRDefault="00EE13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24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Виконання та захист кваліфікаційної роботи магістра</w:t>
            </w:r>
          </w:p>
        </w:tc>
        <w:tc>
          <w:tcPr>
            <w:tcW w:w="1972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11,5</w:t>
            </w:r>
          </w:p>
        </w:tc>
        <w:tc>
          <w:tcPr>
            <w:tcW w:w="2338" w:type="dxa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захист</w:t>
            </w:r>
          </w:p>
        </w:tc>
      </w:tr>
      <w:tr w:rsidR="00EE1317">
        <w:trPr>
          <w:jc w:val="center"/>
        </w:trPr>
        <w:tc>
          <w:tcPr>
            <w:tcW w:w="6456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Загальний обсяг обов’язкових компонент:</w:t>
            </w:r>
          </w:p>
        </w:tc>
        <w:tc>
          <w:tcPr>
            <w:tcW w:w="431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,5</w:t>
            </w:r>
          </w:p>
        </w:tc>
      </w:tr>
      <w:tr w:rsidR="00EE1317">
        <w:trPr>
          <w:jc w:val="center"/>
        </w:trPr>
        <w:tc>
          <w:tcPr>
            <w:tcW w:w="10766" w:type="dxa"/>
            <w:gridSpan w:val="4"/>
            <w:shd w:val="clear" w:color="auto" w:fill="D9D9D9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Вибіркові компоненти ОПП</w:t>
            </w:r>
          </w:p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здобувачі вищої освіти обирають освітні компоненти із запропонованого переліку за посиланням: https://dl.tntu.edu.ua/mods/elective_courses/all.php</w:t>
            </w:r>
          </w:p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1317">
        <w:trPr>
          <w:jc w:val="center"/>
        </w:trPr>
        <w:tc>
          <w:tcPr>
            <w:tcW w:w="6456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Вибіркові компоненти ОПП (2 семестр)</w:t>
            </w:r>
          </w:p>
        </w:tc>
        <w:tc>
          <w:tcPr>
            <w:tcW w:w="431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EE1317">
        <w:trPr>
          <w:jc w:val="center"/>
        </w:trPr>
        <w:tc>
          <w:tcPr>
            <w:tcW w:w="6456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Вибіркові компоненти ОПП (3 семестр)</w:t>
            </w:r>
          </w:p>
        </w:tc>
        <w:tc>
          <w:tcPr>
            <w:tcW w:w="431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EE1317">
        <w:trPr>
          <w:jc w:val="center"/>
        </w:trPr>
        <w:tc>
          <w:tcPr>
            <w:tcW w:w="6456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Загальний обсяг вибіркових компонент:</w:t>
            </w:r>
          </w:p>
        </w:tc>
        <w:tc>
          <w:tcPr>
            <w:tcW w:w="431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,5</w:t>
            </w:r>
          </w:p>
        </w:tc>
      </w:tr>
      <w:tr w:rsidR="00EE1317">
        <w:trPr>
          <w:jc w:val="center"/>
        </w:trPr>
        <w:tc>
          <w:tcPr>
            <w:tcW w:w="6456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ЗАГАЛЬНИЙ ОБСЯГ ОСВІТНЬО-ПРОФЕСІЙНОЇ ПРОГРАМИ</w:t>
            </w:r>
          </w:p>
        </w:tc>
        <w:tc>
          <w:tcPr>
            <w:tcW w:w="4310" w:type="dxa"/>
            <w:gridSpan w:val="2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90,0</w:t>
            </w:r>
          </w:p>
        </w:tc>
      </w:tr>
    </w:tbl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E1317" w:rsidRDefault="002E03BB">
      <w:pPr>
        <w:rPr>
          <w:color w:val="000000"/>
        </w:rPr>
      </w:pPr>
      <w:r>
        <w:br w:type="page"/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2.2.Структурно-логічна схема ОПП.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Структурно-логічна схема освітньо-професійної  програми – представляє собою короткий опис логічної послідовності вивчення компонент освітньої програми представленого згідно рекомендацій у вигляді графа на рисунку 2.1.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-284"/>
      </w:pPr>
      <w:r>
        <w:rPr>
          <w:noProof/>
          <w:lang w:val="uk-UA"/>
        </w:rPr>
        <w:drawing>
          <wp:inline distT="114300" distB="114300" distL="114300" distR="114300">
            <wp:extent cx="6479865" cy="22479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865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1317" w:rsidRDefault="002E03BB">
      <w:pPr>
        <w:jc w:val="center"/>
      </w:pPr>
      <w:r>
        <w:rPr>
          <w:rFonts w:ascii="Times New Roman" w:eastAsia="Times New Roman" w:hAnsi="Times New Roman" w:cs="Times New Roman"/>
          <w:color w:val="000000"/>
        </w:rPr>
        <w:t>Рисунок 2.1 – Структурно-логічна сх</w:t>
      </w:r>
      <w:r>
        <w:rPr>
          <w:rFonts w:ascii="Times New Roman" w:eastAsia="Times New Roman" w:hAnsi="Times New Roman" w:cs="Times New Roman"/>
          <w:color w:val="000000"/>
        </w:rPr>
        <w:t>ема освітньої програми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3. Форма атестації здобувачів вищої </w:t>
      </w:r>
      <w:r>
        <w:rPr>
          <w:rFonts w:ascii="Times New Roman" w:eastAsia="Times New Roman" w:hAnsi="Times New Roman" w:cs="Times New Roman"/>
          <w:b/>
          <w:bCs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світи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4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Атестація зі спеціальності здійснюється у формі публічного захисту (демонстрації) кваліфікаційної роботи магістра та завершується видачею документу встановленого зразка про присудження йому ступеня «магістра» і присвоєнням кваліфікації.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4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Спеціальність F2 «</w:t>
      </w:r>
      <w:r>
        <w:rPr>
          <w:rFonts w:ascii="Times New Roman" w:eastAsia="Times New Roman" w:hAnsi="Times New Roman" w:cs="Times New Roman"/>
          <w:color w:val="000000"/>
        </w:rPr>
        <w:t>Інженерія програмного забезпечення».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4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Освітньо-професійна програма «Інженерія програмного забезпечення».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4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Кваліфікація «Магістр з інженерії програмного забезпечення».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4"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Кваліфікаційна робота магістра передбачає розв’язання складної задачі або проблеми інженерії програмного забезпечення, що передбачає проведення досліджень та/або здійснення інновацій у сфері розробки та реалізації програмних продуктів.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4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 кваліфікаційна ро</w:t>
      </w:r>
      <w:r>
        <w:rPr>
          <w:rFonts w:ascii="Times New Roman" w:eastAsia="Times New Roman" w:hAnsi="Times New Roman" w:cs="Times New Roman"/>
          <w:color w:val="000000"/>
        </w:rPr>
        <w:t xml:space="preserve">бота не повинна містити академічного плагіату, фабрикації, фальсифікації. Кваліфікаційна робота підлягає перевірці на академічний плагіат та оприлюдненню шляхом розміщення в інституційному репозитарії університету. </w:t>
      </w:r>
    </w:p>
    <w:p w:rsidR="00EE1317" w:rsidRDefault="002E03BB">
      <w:pPr>
        <w:ind w:firstLine="709"/>
        <w:sectPr w:rsidR="00EE1317">
          <w:footerReference w:type="default" r:id="rId9"/>
          <w:headerReference w:type="first" r:id="rId10"/>
          <w:footerReference w:type="first" r:id="rId11"/>
          <w:pgSz w:w="11906" w:h="16838"/>
          <w:pgMar w:top="567" w:right="567" w:bottom="567" w:left="1134" w:header="709" w:footer="709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color w:val="000000"/>
        </w:rPr>
        <w:t xml:space="preserve">Кваліфікаційні роботи мають бути оприлюднені у репозитарії ТНТУ, ELARTU:   </w:t>
      </w:r>
      <w:hyperlink r:id="rId12">
        <w:r>
          <w:rPr>
            <w:rFonts w:ascii="Times New Roman" w:eastAsia="Times New Roman" w:hAnsi="Times New Roman" w:cs="Times New Roman"/>
          </w:rPr>
          <w:t>http://elartu.tntu.edu.ua/</w:t>
        </w:r>
      </w:hyperlink>
      <w:r>
        <w:t xml:space="preserve">. </w:t>
      </w:r>
      <w:r>
        <w:rPr>
          <w:rFonts w:ascii="Times New Roman" w:eastAsia="Times New Roman" w:hAnsi="Times New Roman" w:cs="Times New Roman"/>
        </w:rPr>
        <w:t>Оприлюднення кваліфікаційних робіт з обмеженим доступом здійснюється</w:t>
      </w:r>
      <w:r>
        <w:rPr>
          <w:rFonts w:ascii="Times New Roman" w:eastAsia="Times New Roman" w:hAnsi="Times New Roman" w:cs="Times New Roman"/>
          <w:color w:val="000000"/>
        </w:rPr>
        <w:t xml:space="preserve"> відповідно до вимог законодавства.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4. Матриця відповідності програмних компетентностей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обов’язковим компонентам ОПП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Style w:val="afc"/>
        <w:tblW w:w="9634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2"/>
        <w:gridCol w:w="610"/>
        <w:gridCol w:w="610"/>
        <w:gridCol w:w="610"/>
        <w:gridCol w:w="611"/>
        <w:gridCol w:w="610"/>
        <w:gridCol w:w="610"/>
        <w:gridCol w:w="610"/>
        <w:gridCol w:w="611"/>
        <w:gridCol w:w="610"/>
        <w:gridCol w:w="796"/>
        <w:gridCol w:w="704"/>
      </w:tblGrid>
      <w:tr w:rsidR="00EE1317">
        <w:trPr>
          <w:cantSplit/>
          <w:trHeight w:val="315"/>
        </w:trPr>
        <w:tc>
          <w:tcPr>
            <w:tcW w:w="2642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К - Компетентності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br/>
              <w:t xml:space="preserve">(ЗК- загальні,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br/>
              <w:t>СК - спеціальні)</w:t>
            </w:r>
          </w:p>
        </w:tc>
        <w:tc>
          <w:tcPr>
            <w:tcW w:w="6992" w:type="dxa"/>
            <w:gridSpan w:val="1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ОК - освітні компоненти</w:t>
            </w:r>
          </w:p>
        </w:tc>
      </w:tr>
      <w:tr w:rsidR="00EE1317">
        <w:trPr>
          <w:cantSplit/>
          <w:trHeight w:val="315"/>
        </w:trPr>
        <w:tc>
          <w:tcPr>
            <w:tcW w:w="26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92" w:type="dxa"/>
            <w:gridSpan w:val="11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E1317">
        <w:trPr>
          <w:cantSplit/>
          <w:trHeight w:val="315"/>
        </w:trPr>
        <w:tc>
          <w:tcPr>
            <w:tcW w:w="2642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ОК1</w:t>
            </w:r>
          </w:p>
        </w:tc>
        <w:tc>
          <w:tcPr>
            <w:tcW w:w="610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ОК2</w:t>
            </w:r>
          </w:p>
        </w:tc>
        <w:tc>
          <w:tcPr>
            <w:tcW w:w="610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ОК3</w:t>
            </w:r>
          </w:p>
        </w:tc>
        <w:tc>
          <w:tcPr>
            <w:tcW w:w="611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ОК4</w:t>
            </w:r>
          </w:p>
        </w:tc>
        <w:tc>
          <w:tcPr>
            <w:tcW w:w="610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ОК5</w:t>
            </w:r>
          </w:p>
        </w:tc>
        <w:tc>
          <w:tcPr>
            <w:tcW w:w="610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ОК6</w:t>
            </w:r>
          </w:p>
        </w:tc>
        <w:tc>
          <w:tcPr>
            <w:tcW w:w="610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ОК7</w:t>
            </w:r>
          </w:p>
        </w:tc>
        <w:tc>
          <w:tcPr>
            <w:tcW w:w="611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ОК8</w:t>
            </w:r>
          </w:p>
        </w:tc>
        <w:tc>
          <w:tcPr>
            <w:tcW w:w="610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ОК9</w:t>
            </w:r>
          </w:p>
        </w:tc>
        <w:tc>
          <w:tcPr>
            <w:tcW w:w="796" w:type="dxa"/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ОК10</w:t>
            </w:r>
          </w:p>
        </w:tc>
        <w:tc>
          <w:tcPr>
            <w:tcW w:w="704" w:type="dxa"/>
            <w:shd w:val="clear" w:color="auto" w:fill="999999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ОК11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Інтегральна компетентність</w:t>
            </w:r>
          </w:p>
        </w:tc>
        <w:tc>
          <w:tcPr>
            <w:tcW w:w="610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1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shd w:val="clear" w:color="auto" w:fill="FFF2CC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ЗК01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ЗК02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ЗК03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ЗК04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ЗК05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СК01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СК02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СК03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СК04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СК05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СК06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4" w:type="dxa"/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СК07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СК08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СК09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04" w:type="dxa"/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2642" w:type="dxa"/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СК10*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9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4" w:type="dxa"/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  компетентність, яка відповідає;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обов’язкові компоненти освітньої програми;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ЗК01-ЗК05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загальні компетентності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СК01-СК09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 спеціальні компетентності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СК10*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 додаткова спеціальна компетентність, запропонована стейкхолдерами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5. Матриця забезпечення програмних результатів навчання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обов’язковими компонентами ОПП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tbl>
      <w:tblPr>
        <w:tblStyle w:val="afd"/>
        <w:tblW w:w="9492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3067"/>
        <w:gridCol w:w="557"/>
        <w:gridCol w:w="557"/>
        <w:gridCol w:w="557"/>
        <w:gridCol w:w="557"/>
        <w:gridCol w:w="557"/>
        <w:gridCol w:w="557"/>
        <w:gridCol w:w="557"/>
        <w:gridCol w:w="557"/>
        <w:gridCol w:w="557"/>
        <w:gridCol w:w="691"/>
        <w:gridCol w:w="721"/>
      </w:tblGrid>
      <w:tr w:rsidR="00EE1317">
        <w:trPr>
          <w:cantSplit/>
          <w:trHeight w:val="315"/>
        </w:trPr>
        <w:tc>
          <w:tcPr>
            <w:tcW w:w="3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РН - програмні результати навчання</w:t>
            </w:r>
          </w:p>
        </w:tc>
        <w:tc>
          <w:tcPr>
            <w:tcW w:w="64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ОК - освітні компоненти</w:t>
            </w:r>
          </w:p>
        </w:tc>
      </w:tr>
      <w:tr w:rsidR="00EE1317">
        <w:trPr>
          <w:cantSplit/>
          <w:trHeight w:val="315"/>
        </w:trPr>
        <w:tc>
          <w:tcPr>
            <w:tcW w:w="3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4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EE1317">
        <w:trPr>
          <w:cantSplit/>
          <w:trHeight w:val="315"/>
        </w:trPr>
        <w:tc>
          <w:tcPr>
            <w:tcW w:w="3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ОК10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ОК11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РН08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РН09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РН10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РН11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РН12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РН14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РН15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РН16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РН17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  <w:tr w:rsidR="00EE1317">
        <w:trPr>
          <w:trHeight w:val="315"/>
        </w:trPr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РН1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EE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E1317" w:rsidRDefault="002E0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х</w:t>
            </w:r>
          </w:p>
        </w:tc>
      </w:tr>
    </w:tbl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  результат навчання, який відповідає компоненті;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обов’язкові компоненти освітньої програми; 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РН01-РН17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навчання</w:t>
      </w: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РН18*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– додатков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 навчання, запропонований стейкхолдерами</w:t>
      </w:r>
    </w:p>
    <w:p w:rsidR="00EE1317" w:rsidRDefault="00EE1317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EE1317" w:rsidRDefault="002E03BB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EE1317" w:rsidRDefault="002E03BB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Перелік нормативних документів, на яких базується ОПП</w:t>
      </w:r>
    </w:p>
    <w:p w:rsidR="00EE1317" w:rsidRDefault="00EE1317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Стандарт вищої освіти другого (магістерського) рівня галузі знань 12 «Інформаційні технології», спеціальності 121 «Інженерія програмного забезпечення» затверджений та введений у дію наказом Міністер</w:t>
      </w:r>
      <w:r>
        <w:rPr>
          <w:rFonts w:ascii="Times New Roman" w:eastAsia="Times New Roman" w:hAnsi="Times New Roman" w:cs="Times New Roman"/>
        </w:rPr>
        <w:t>ства освіти і науки України від від 17.11.2020 р. наказ № 1424. URL: https://mon.gov.ua/npa/pro-zatverdzhennya-standartu-vishoyi-osviti-za-specialnistyu-121-inzheneriya-programnogo-zabezpechennya-dlya-drugogo-magisterskogo-rivnya-vishoyi-osviti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Положенн</w:t>
      </w:r>
      <w:r>
        <w:rPr>
          <w:rFonts w:ascii="Times New Roman" w:eastAsia="Times New Roman" w:hAnsi="Times New Roman" w:cs="Times New Roman"/>
        </w:rPr>
        <w:t xml:space="preserve">я про порядок розроблення, затвердження, моніторингу та припинення освітніх програм Тернопільського національного технічного університету імені Івана Пулюя – наказ №4/7-965 від 01.11.2019 зі змінами від 18.09.2020 – наказ №4/7-668 від 25.09.2020. URL: </w:t>
      </w:r>
      <w:hyperlink r:id="rId13">
        <w:r>
          <w:rPr>
            <w:rFonts w:ascii="Times New Roman" w:eastAsia="Times New Roman" w:hAnsi="Times New Roman" w:cs="Times New Roman"/>
          </w:rPr>
          <w:t>https://docs.tntu.edu.ua/base/document?id=466</w:t>
        </w:r>
      </w:hyperlink>
      <w:r>
        <w:rPr>
          <w:rFonts w:ascii="Times New Roman" w:eastAsia="Times New Roman" w:hAnsi="Times New Roman" w:cs="Times New Roman"/>
        </w:rPr>
        <w:t>.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Закон України від 01.07.2014 р. № 1556-VII «Про вищу освіту» [Режим доступу: </w:t>
      </w:r>
      <w:hyperlink r:id="rId14">
        <w:r>
          <w:rPr>
            <w:rFonts w:ascii="Times New Roman" w:eastAsia="Times New Roman" w:hAnsi="Times New Roman" w:cs="Times New Roman"/>
          </w:rPr>
          <w:t>http:</w:t>
        </w:r>
        <w:r>
          <w:rPr>
            <w:rFonts w:ascii="Times New Roman" w:eastAsia="Times New Roman" w:hAnsi="Times New Roman" w:cs="Times New Roman"/>
          </w:rPr>
          <w:t>//zakon5.rada.gov.ua/laws/show/2145-19</w:t>
        </w:r>
      </w:hyperlink>
      <w:r>
        <w:rPr>
          <w:rFonts w:ascii="Times New Roman" w:eastAsia="Times New Roman" w:hAnsi="Times New Roman" w:cs="Times New Roman"/>
        </w:rPr>
        <w:t xml:space="preserve">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Закон України від 05.09.2017 р. «Про освіту» – [Режим доступу: </w:t>
      </w:r>
      <w:hyperlink r:id="rId15">
        <w:r>
          <w:rPr>
            <w:rFonts w:ascii="Times New Roman" w:eastAsia="Times New Roman" w:hAnsi="Times New Roman" w:cs="Times New Roman"/>
          </w:rPr>
          <w:t>http://zakon5.rada.gov.ua/laws/show/2145-19</w:t>
        </w:r>
      </w:hyperlink>
      <w:r>
        <w:rPr>
          <w:rFonts w:ascii="Times New Roman" w:eastAsia="Times New Roman" w:hAnsi="Times New Roman" w:cs="Times New Roman"/>
        </w:rPr>
        <w:t xml:space="preserve">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Постанова Кабінету Міністрів України від 29.04.2015 р. № 266 «Про затвердження переліку галузей знань і спеціальностей, за якими здійснюється підготовка здобувачів вищої освіти» [Режим доступу: </w:t>
      </w:r>
      <w:hyperlink r:id="rId16">
        <w:r>
          <w:rPr>
            <w:rFonts w:ascii="Times New Roman" w:eastAsia="Times New Roman" w:hAnsi="Times New Roman" w:cs="Times New Roman"/>
          </w:rPr>
          <w:t>http://zakon4.rada.gov.ua/laws/show/266-2015-п</w:t>
        </w:r>
      </w:hyperlink>
      <w:r>
        <w:rPr>
          <w:rFonts w:ascii="Times New Roman" w:eastAsia="Times New Roman" w:hAnsi="Times New Roman" w:cs="Times New Roman"/>
        </w:rPr>
        <w:t xml:space="preserve">]; </w:t>
      </w:r>
    </w:p>
    <w:p w:rsidR="00EE1317" w:rsidRDefault="002E03BB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bookmarkStart w:id="11" w:name="_heading=h.39p5uj8uybyi" w:colFirst="0" w:colLast="0"/>
      <w:bookmarkEnd w:id="11"/>
      <w:r>
        <w:rPr>
          <w:rFonts w:ascii="Times New Roman" w:eastAsia="Times New Roman" w:hAnsi="Times New Roman" w:cs="Times New Roman"/>
        </w:rPr>
        <w:t xml:space="preserve">6. Постанова Кабінету Міністрів України від  від 30 серпня 2024 р. №1021 «Про внесення змін до переліку галузей знань і спеціальностей, за якими здійснюється підготовка здобувачів вищої та фахової передвищої освіти» [Режим доступу: </w:t>
      </w:r>
      <w:hyperlink r:id="rId17" w:anchor="Text">
        <w:r>
          <w:rPr>
            <w:rFonts w:ascii="Times New Roman" w:eastAsia="Times New Roman" w:hAnsi="Times New Roman" w:cs="Times New Roman"/>
          </w:rPr>
          <w:t>https://zakon.rada.gov.ua/laws/show/1021-2024-%D0%BF#Text</w:t>
        </w:r>
      </w:hyperlink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Постанова Кабінету Міністрів України від 30.12.2015 р. № 1187 «Про затвердження Ліцензійних умов провадження освітньої діяльності» [Режим</w:t>
      </w:r>
      <w:r>
        <w:rPr>
          <w:rFonts w:ascii="Times New Roman" w:eastAsia="Times New Roman" w:hAnsi="Times New Roman" w:cs="Times New Roman"/>
        </w:rPr>
        <w:t xml:space="preserve"> доступу: </w:t>
      </w:r>
      <w:hyperlink r:id="rId18">
        <w:r>
          <w:rPr>
            <w:rFonts w:ascii="Times New Roman" w:eastAsia="Times New Roman" w:hAnsi="Times New Roman" w:cs="Times New Roman"/>
          </w:rPr>
          <w:t>http://zakon4.rada.gov.ua/laws/show/1187-2015-п/page</w:t>
        </w:r>
      </w:hyperlink>
      <w:r>
        <w:rPr>
          <w:rFonts w:ascii="Times New Roman" w:eastAsia="Times New Roman" w:hAnsi="Times New Roman" w:cs="Times New Roman"/>
        </w:rPr>
        <w:t xml:space="preserve">]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Постанова Кабінету Міністрів України від 23.11.2011 р. № 1341 «Про затвердження Національної рамки кваліфікацій</w:t>
      </w:r>
      <w:r>
        <w:rPr>
          <w:rFonts w:ascii="Times New Roman" w:eastAsia="Times New Roman" w:hAnsi="Times New Roman" w:cs="Times New Roman"/>
        </w:rPr>
        <w:t xml:space="preserve">» [Режим доступу: </w:t>
      </w:r>
      <w:hyperlink r:id="rId19">
        <w:r>
          <w:rPr>
            <w:rFonts w:ascii="Times New Roman" w:eastAsia="Times New Roman" w:hAnsi="Times New Roman" w:cs="Times New Roman"/>
          </w:rPr>
          <w:t>http://zakon4.rada.gov.ua/laws/show/1341-2011-п</w:t>
        </w:r>
      </w:hyperlink>
      <w:r>
        <w:rPr>
          <w:rFonts w:ascii="Times New Roman" w:eastAsia="Times New Roman" w:hAnsi="Times New Roman" w:cs="Times New Roman"/>
        </w:rPr>
        <w:t xml:space="preserve">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Національний класифікатор України: «Класифікація видів економічної діяльності» ДК 009: 2010 [Режим доступу: </w:t>
      </w:r>
      <w:hyperlink r:id="rId20">
        <w:r>
          <w:rPr>
            <w:rFonts w:ascii="Times New Roman" w:eastAsia="Times New Roman" w:hAnsi="Times New Roman" w:cs="Times New Roman"/>
          </w:rPr>
          <w:t>http://www.ukrstat.gov.ua/</w:t>
        </w:r>
      </w:hyperlink>
      <w:r>
        <w:rPr>
          <w:rFonts w:ascii="Times New Roman" w:eastAsia="Times New Roman" w:hAnsi="Times New Roman" w:cs="Times New Roman"/>
        </w:rPr>
        <w:t xml:space="preserve">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Національний класифікатор України: «Класифікатор професій» ДК 003: 2010 ДК 003:2010 [Режим доступу: </w:t>
      </w:r>
      <w:hyperlink r:id="rId21">
        <w:r>
          <w:rPr>
            <w:rFonts w:ascii="Times New Roman" w:eastAsia="Times New Roman" w:hAnsi="Times New Roman" w:cs="Times New Roman"/>
          </w:rPr>
          <w:t>http://www.dk003.com</w:t>
        </w:r>
      </w:hyperlink>
      <w:r>
        <w:rPr>
          <w:rFonts w:ascii="Times New Roman" w:eastAsia="Times New Roman" w:hAnsi="Times New Roman" w:cs="Times New Roman"/>
        </w:rPr>
        <w:t>];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 Стандарти і р</w:t>
      </w:r>
      <w:r>
        <w:rPr>
          <w:rFonts w:ascii="Times New Roman" w:eastAsia="Times New Roman" w:hAnsi="Times New Roman" w:cs="Times New Roman"/>
        </w:rPr>
        <w:t xml:space="preserve">екомендації щодо забезпечення якості в Європейському просторі вищої освіти (ESG) [Режим доступу: http://ihed.org.ua/images/doc/ 04_2016_ESG_2015.pdf];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12. International Standard Classification of Education (ISCED 2011): UNESCO Institute for Statistics [Ре</w:t>
      </w:r>
      <w:r>
        <w:rPr>
          <w:rFonts w:ascii="Times New Roman" w:eastAsia="Times New Roman" w:hAnsi="Times New Roman" w:cs="Times New Roman"/>
        </w:rPr>
        <w:t xml:space="preserve">жим доступу: http://www.uis.unesco.org/education/ documents/isced-2011- en.pdf];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13. ISCED Fields of Education and Training 2013 (ISCED-F 2013):UNESCO Institute for Statistics [Режим доступу: http://www.uis.unesco.org/Education/ Documents/isced-fields-of-</w:t>
      </w:r>
      <w:r>
        <w:rPr>
          <w:rFonts w:ascii="Times New Roman" w:eastAsia="Times New Roman" w:hAnsi="Times New Roman" w:cs="Times New Roman"/>
        </w:rPr>
        <w:t xml:space="preserve">education-training-2013.pdf].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14. Розроблення освітніх програм. Методичні рекомендації [Режим доступу: http://ihed.org.ua/images/doc/04_2016_rozroblennya_osv_program_2014_tempusoffice.pdf];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15. Національний освітній глосарій: вища освіта [Режим доступу: </w:t>
      </w:r>
      <w:r>
        <w:rPr>
          <w:rFonts w:ascii="Times New Roman" w:eastAsia="Times New Roman" w:hAnsi="Times New Roman" w:cs="Times New Roman"/>
        </w:rPr>
        <w:t xml:space="preserve">http:// ihed.org.ua/images/doc/04_2016_glossariy_Visha_osvita_2014_tempusoffice.pdf];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 Розвиток системи забезпечення якості вищої освіти в Україні: інформаційно-аналітичний огляд [Режим доступу: http://ihed.org.ua/images/ doc/04_2016_Rozvitok_sisitemi_</w:t>
      </w:r>
      <w:r>
        <w:rPr>
          <w:rFonts w:ascii="Times New Roman" w:eastAsia="Times New Roman" w:hAnsi="Times New Roman" w:cs="Times New Roman"/>
        </w:rPr>
        <w:t xml:space="preserve">zabesp_yakosti_VO_UA_2015.pdf];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17. Європейська кредитна трансферна накопичувальна система:. Довідник користувача [Режим доступу: 13 http://ihed.org.ua/images/doc/04_2016_ECTS_Users _Guide2015_Ukrainian.pdf]. 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18. EQF-LLL – European Qualifications Framewo</w:t>
      </w:r>
      <w:r>
        <w:rPr>
          <w:rFonts w:ascii="Times New Roman" w:eastAsia="Times New Roman" w:hAnsi="Times New Roman" w:cs="Times New Roman"/>
        </w:rPr>
        <w:t>rkfor Lifelong Learning [Режим доступу:https://ec.europa.eu/ploteus/sites/eac-eqf/files/brochexp_en.pdf]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19. H. Washizaki, eds., Guide to the Software Engineering Body of Knowledge (SWEBOK Guide), Version 4.0, IEEE Computer Society, 2024; www.swebok.org.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0. Computing Curricula 2020: Paradigms for Global Computing Education November 2020 [Режим доступу: </w:t>
      </w:r>
      <w:hyperlink r:id="rId22">
        <w:r>
          <w:rPr>
            <w:rFonts w:ascii="Times New Roman" w:eastAsia="Times New Roman" w:hAnsi="Times New Roman" w:cs="Times New Roman"/>
          </w:rPr>
          <w:t>https://dl.acm.org/doi/book/10.1145/3467967</w:t>
        </w:r>
      </w:hyperlink>
      <w:r>
        <w:rPr>
          <w:rFonts w:ascii="Times New Roman" w:eastAsia="Times New Roman" w:hAnsi="Times New Roman" w:cs="Times New Roman"/>
        </w:rPr>
        <w:t>]</w:t>
      </w:r>
    </w:p>
    <w:p w:rsidR="00EE1317" w:rsidRDefault="002E03BB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21. Стратегія та Концепція розвитку Тернопільськ</w:t>
      </w:r>
      <w:r>
        <w:rPr>
          <w:rFonts w:ascii="Times New Roman" w:eastAsia="Times New Roman" w:hAnsi="Times New Roman" w:cs="Times New Roman"/>
        </w:rPr>
        <w:t xml:space="preserve">ого національного технічного університету імені Івана Пулюя на 2025-2029 рр. - наказ №4/7-1200 від 19.12.2024 https://docs.tntu.edu.ua/base/document?id=1216 </w:t>
      </w:r>
    </w:p>
    <w:p w:rsidR="00EE1317" w:rsidRDefault="00EE1317">
      <w:pPr>
        <w:spacing w:line="254" w:lineRule="auto"/>
        <w:ind w:firstLine="709"/>
        <w:jc w:val="both"/>
        <w:rPr>
          <w:rFonts w:ascii="Times New Roman" w:eastAsia="Times New Roman" w:hAnsi="Times New Roman" w:cs="Times New Roman"/>
        </w:rPr>
      </w:pPr>
    </w:p>
    <w:sectPr w:rsidR="00EE1317">
      <w:footerReference w:type="default" r:id="rId23"/>
      <w:pgSz w:w="11906" w:h="16838"/>
      <w:pgMar w:top="851" w:right="284" w:bottom="851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3BB" w:rsidRDefault="002E03BB">
      <w:r>
        <w:separator/>
      </w:r>
    </w:p>
  </w:endnote>
  <w:endnote w:type="continuationSeparator" w:id="0">
    <w:p w:rsidR="002E03BB" w:rsidRDefault="002E0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F9510CD1-2910-42E2-B633-ABE22DE608C1}"/>
    <w:embedBold r:id="rId2" w:fontKey="{D7ADC3AE-C705-4B5D-976A-38308A431794}"/>
    <w:embedItalic r:id="rId3" w:fontKey="{88155121-FF97-4BD2-B778-1D04C0DC8B98}"/>
  </w:font>
  <w:font w:name="Georgia">
    <w:panose1 w:val="02040502050405020303"/>
    <w:charset w:val="00"/>
    <w:family w:val="auto"/>
    <w:pitch w:val="default"/>
    <w:embedItalic r:id="rId4" w:fontKey="{1561CCE9-0045-48E9-A330-2980C5FFA5F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2C8E0A02-8C63-4A43-9084-37C14944FAFF}"/>
    <w:embedItalic r:id="rId6" w:fontKey="{297D893B-7BA5-4E3A-8B4F-EFDCA4AF49D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317" w:rsidRDefault="002E03BB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 w:rsidR="005235EC"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5235EC">
      <w:rPr>
        <w:rFonts w:ascii="Times New Roman" w:eastAsia="Times New Roman" w:hAnsi="Times New Roman" w:cs="Times New Roman"/>
        <w:noProof/>
        <w:sz w:val="28"/>
        <w:szCs w:val="28"/>
      </w:rPr>
      <w:t>4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317" w:rsidRDefault="002E03BB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 w:rsidR="005235EC"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5235EC">
      <w:rPr>
        <w:rFonts w:ascii="Times New Roman" w:eastAsia="Times New Roman" w:hAnsi="Times New Roman" w:cs="Times New Roman"/>
        <w:noProof/>
        <w:sz w:val="28"/>
        <w:szCs w:val="28"/>
      </w:rPr>
      <w:t>1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317" w:rsidRDefault="002E03B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 w:rsidR="005235EC"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5235EC">
      <w:rPr>
        <w:rFonts w:ascii="Times New Roman" w:eastAsia="Times New Roman" w:hAnsi="Times New Roman" w:cs="Times New Roman"/>
        <w:noProof/>
        <w:color w:val="000000"/>
        <w:sz w:val="28"/>
        <w:szCs w:val="28"/>
      </w:rPr>
      <w:t>16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3BB" w:rsidRDefault="002E03BB">
      <w:r>
        <w:separator/>
      </w:r>
    </w:p>
  </w:footnote>
  <w:footnote w:type="continuationSeparator" w:id="0">
    <w:p w:rsidR="002E03BB" w:rsidRDefault="002E0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317" w:rsidRDefault="00EE131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A73B8"/>
    <w:multiLevelType w:val="multilevel"/>
    <w:tmpl w:val="7718668A"/>
    <w:lvl w:ilvl="0">
      <w:start w:val="1"/>
      <w:numFmt w:val="decimal"/>
      <w:lvlText w:val="ОК%1.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9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1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3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5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7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9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1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337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17"/>
    <w:rsid w:val="002E03BB"/>
    <w:rsid w:val="005235EC"/>
    <w:rsid w:val="00EE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8509B-343A-47F5-A1E0-341F4302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character" w:styleId="ac">
    <w:name w:val="Hyperlink"/>
    <w:basedOn w:val="a0"/>
    <w:uiPriority w:val="99"/>
    <w:unhideWhenUsed/>
    <w:rsid w:val="00096105"/>
    <w:rPr>
      <w:color w:val="0000FF" w:themeColor="hyperlink"/>
      <w:u w:val="single"/>
    </w:r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paragraph" w:styleId="af5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tntu.edu.ua/base/document?id=466" TargetMode="External"/><Relationship Id="rId18" Type="http://schemas.openxmlformats.org/officeDocument/2006/relationships/hyperlink" Target="http://zakon4.rada.gov.ua/laws/show/1187-2015-%D0%BF/page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k003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lartu.tntu.edu.ua/" TargetMode="External"/><Relationship Id="rId17" Type="http://schemas.openxmlformats.org/officeDocument/2006/relationships/hyperlink" Target="https://zakon.rada.gov.ua/laws/show/1021-2024-%D0%B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zakon4.rada.gov.ua/laws/show/266-2015-%D0%BF" TargetMode="External"/><Relationship Id="rId20" Type="http://schemas.openxmlformats.org/officeDocument/2006/relationships/hyperlink" Target="http://www.ukrstat.gov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zakon5.rada.gov.ua/laws/show/2145-19" TargetMode="External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://zakon4.rada.gov.ua/laws/show/1341-2011-%D0%B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akon5.rada.gov.ua/laws/show/2145-19" TargetMode="External"/><Relationship Id="rId22" Type="http://schemas.openxmlformats.org/officeDocument/2006/relationships/hyperlink" Target="https://dl.acm.org/doi/book/10.1145/346796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/ccdEytreynbpbgpw0d1QkgPuw==">CgMxLjAyCGguZ2pkZ3hzMgloLjMwajB6bGwyCWguMWZvYjl0ZTIJaC4zem55c2g3MgloLjJldDkycDAyCGgudHlqY3d0MgloLjNkeTZ2a20yCWguMXQzaDVzZjIJaC40ZDM0b2c4MgloLjJzOGV5bzEyDmguMzlwNXVqOHV5YnlpOAByITFYMVlTRkRXZ2hSdnFqQWVQZVZxRDA4enNwbGMzTGF4MQ==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18624</Words>
  <Characters>10616</Characters>
  <Application>Microsoft Office Word</Application>
  <DocSecurity>0</DocSecurity>
  <Lines>88</Lines>
  <Paragraphs>58</Paragraphs>
  <ScaleCrop>false</ScaleCrop>
  <Company>TNTU</Company>
  <LinksUpToDate>false</LinksUpToDate>
  <CharactersWithSpaces>29182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mddm .</dc:creator>
  <cp:lastModifiedBy>VJ</cp:lastModifiedBy>
  <cp:revision>2</cp:revision>
  <dcterms:created xsi:type="dcterms:W3CDTF">2025-03-14T07:57:00Z</dcterms:created>
  <dcterms:modified xsi:type="dcterms:W3CDTF">2026-02-02T08:09:00Z</dcterms:modified>
</cp:coreProperties>
</file>