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7E8" w:rsidRPr="008C55CC" w:rsidRDefault="0027417C">
      <w:pPr>
        <w:jc w:val="center"/>
        <w:rPr>
          <w:lang w:val="uk-UA"/>
        </w:rPr>
      </w:pPr>
      <w:r w:rsidRPr="008C55CC">
        <w:rPr>
          <w:rStyle w:val="FontStyle26"/>
          <w:sz w:val="28"/>
          <w:szCs w:val="28"/>
          <w:lang w:val="uk-UA"/>
        </w:rPr>
        <w:t>МІНІСТЕРСТВО ОСВІТИ І НАУКИ УКРАЇНИ</w:t>
      </w:r>
    </w:p>
    <w:p w:rsidR="006B07E8" w:rsidRPr="008C55CC" w:rsidRDefault="0027417C">
      <w:pPr>
        <w:jc w:val="center"/>
        <w:rPr>
          <w:lang w:val="uk-UA"/>
        </w:rPr>
      </w:pPr>
      <w:r w:rsidRPr="008C55CC">
        <w:rPr>
          <w:rStyle w:val="FontStyle26"/>
          <w:sz w:val="28"/>
          <w:szCs w:val="28"/>
          <w:lang w:val="uk-UA"/>
        </w:rPr>
        <w:t>ТЕРНОПІЛЬСЬКИЙ НАЦІОНАЛЬНИЙ ТЕХНІЧНИЙ УНІВЕРСИТЕТ</w:t>
      </w:r>
    </w:p>
    <w:p w:rsidR="006B07E8" w:rsidRPr="008C55CC" w:rsidRDefault="0027417C">
      <w:pPr>
        <w:jc w:val="center"/>
        <w:rPr>
          <w:lang w:val="uk-UA"/>
        </w:rPr>
      </w:pPr>
      <w:r w:rsidRPr="008C55CC">
        <w:rPr>
          <w:rStyle w:val="FontStyle26"/>
          <w:sz w:val="28"/>
          <w:szCs w:val="28"/>
          <w:lang w:val="uk-UA"/>
        </w:rPr>
        <w:t>імені ІВАНА ПУЛЮЯ</w:t>
      </w:r>
    </w:p>
    <w:p w:rsidR="006B07E8" w:rsidRPr="008C55CC" w:rsidRDefault="006B07E8">
      <w:pPr>
        <w:jc w:val="center"/>
        <w:rPr>
          <w:rStyle w:val="FontStyle26"/>
          <w:sz w:val="28"/>
          <w:szCs w:val="28"/>
          <w:lang w:val="uk-UA"/>
        </w:rPr>
      </w:pPr>
    </w:p>
    <w:p w:rsidR="008C55CC" w:rsidRPr="008C55CC" w:rsidRDefault="008C55CC" w:rsidP="008C55CC">
      <w:pPr>
        <w:rPr>
          <w:rStyle w:val="FontStyle26"/>
          <w:sz w:val="28"/>
          <w:szCs w:val="28"/>
          <w:lang w:val="uk-UA"/>
        </w:rPr>
      </w:pPr>
    </w:p>
    <w:p w:rsidR="008C55CC" w:rsidRPr="008C55CC" w:rsidRDefault="008C55CC" w:rsidP="008C55CC">
      <w:pPr>
        <w:jc w:val="right"/>
        <w:rPr>
          <w:rStyle w:val="FontStyle26"/>
          <w:sz w:val="28"/>
          <w:szCs w:val="28"/>
          <w:lang w:val="uk-UA"/>
        </w:rPr>
      </w:pPr>
      <w:r w:rsidRPr="008C55CC">
        <w:rPr>
          <w:rStyle w:val="FontStyle26"/>
          <w:sz w:val="28"/>
          <w:szCs w:val="28"/>
          <w:lang w:val="uk-UA"/>
        </w:rPr>
        <w:drawing>
          <wp:inline distT="0" distB="0" distL="0" distR="0" wp14:anchorId="6688EC7D" wp14:editId="72D1FE80">
            <wp:extent cx="3696216" cy="204816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6216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8C55CC" w:rsidRPr="008C55CC" w:rsidRDefault="008C55CC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27417C">
      <w:pPr>
        <w:pStyle w:val="Style1"/>
        <w:widowControl/>
        <w:spacing w:before="77"/>
        <w:ind w:right="307"/>
        <w:jc w:val="center"/>
        <w:rPr>
          <w:lang w:val="uk-UA"/>
        </w:rPr>
      </w:pPr>
      <w:r w:rsidRPr="008C55CC">
        <w:rPr>
          <w:rStyle w:val="FontStyle22"/>
          <w:sz w:val="36"/>
          <w:szCs w:val="36"/>
          <w:lang w:val="uk-UA"/>
        </w:rPr>
        <w:t>ПОЛОЖЕННЯ</w:t>
      </w:r>
    </w:p>
    <w:p w:rsidR="006B07E8" w:rsidRPr="008C55CC" w:rsidRDefault="0027417C">
      <w:pPr>
        <w:pStyle w:val="Style5"/>
        <w:widowControl/>
        <w:spacing w:line="240" w:lineRule="auto"/>
        <w:jc w:val="center"/>
        <w:rPr>
          <w:lang w:val="en-US"/>
        </w:rPr>
      </w:pPr>
      <w:r w:rsidRPr="008C55CC">
        <w:rPr>
          <w:rStyle w:val="FontStyle25"/>
          <w:b/>
          <w:sz w:val="36"/>
          <w:szCs w:val="36"/>
          <w:lang w:val="uk-UA"/>
        </w:rPr>
        <w:t xml:space="preserve">про </w:t>
      </w:r>
      <w:r w:rsidRPr="008C55CC">
        <w:rPr>
          <w:rStyle w:val="FontStyle25"/>
          <w:b/>
          <w:sz w:val="36"/>
          <w:szCs w:val="36"/>
          <w:lang w:val="uk-UA"/>
        </w:rPr>
        <w:t>присвоєння мікрокваліфікацій</w:t>
      </w:r>
    </w:p>
    <w:p w:rsidR="006B07E8" w:rsidRPr="008C55CC" w:rsidRDefault="0027417C">
      <w:pPr>
        <w:pStyle w:val="Style5"/>
        <w:widowControl/>
        <w:spacing w:line="240" w:lineRule="auto"/>
        <w:jc w:val="center"/>
        <w:rPr>
          <w:lang w:val="uk-UA"/>
        </w:rPr>
      </w:pPr>
      <w:r w:rsidRPr="008C55CC">
        <w:rPr>
          <w:rStyle w:val="FontStyle25"/>
          <w:b/>
          <w:sz w:val="36"/>
          <w:szCs w:val="36"/>
          <w:lang w:val="uk-UA"/>
        </w:rPr>
        <w:t xml:space="preserve">у Тернопільському національному </w:t>
      </w:r>
    </w:p>
    <w:p w:rsidR="006B07E8" w:rsidRPr="008C55CC" w:rsidRDefault="0027417C">
      <w:pPr>
        <w:pStyle w:val="Style5"/>
        <w:widowControl/>
        <w:spacing w:line="240" w:lineRule="auto"/>
        <w:jc w:val="center"/>
        <w:rPr>
          <w:lang w:val="uk-UA"/>
        </w:rPr>
      </w:pPr>
      <w:r w:rsidRPr="008C55CC">
        <w:rPr>
          <w:rStyle w:val="FontStyle25"/>
          <w:b/>
          <w:sz w:val="36"/>
          <w:szCs w:val="36"/>
          <w:lang w:val="uk-UA"/>
        </w:rPr>
        <w:t>технічному університеті імені Івана Пулюя</w:t>
      </w: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6B07E8">
      <w:pPr>
        <w:jc w:val="center"/>
        <w:rPr>
          <w:sz w:val="28"/>
          <w:szCs w:val="28"/>
          <w:lang w:val="uk-UA"/>
        </w:rPr>
      </w:pPr>
    </w:p>
    <w:p w:rsidR="006B07E8" w:rsidRPr="008C55CC" w:rsidRDefault="0027417C">
      <w:pPr>
        <w:jc w:val="center"/>
        <w:rPr>
          <w:b/>
          <w:sz w:val="32"/>
          <w:szCs w:val="32"/>
          <w:lang w:val="uk-UA"/>
        </w:rPr>
      </w:pPr>
      <w:r w:rsidRPr="008C55CC">
        <w:rPr>
          <w:b/>
          <w:sz w:val="32"/>
          <w:szCs w:val="32"/>
          <w:lang w:val="uk-UA"/>
        </w:rPr>
        <w:t>Тернопіль</w:t>
      </w:r>
    </w:p>
    <w:p w:rsidR="006B07E8" w:rsidRPr="008C55CC" w:rsidRDefault="0027417C">
      <w:pPr>
        <w:jc w:val="center"/>
        <w:rPr>
          <w:sz w:val="28"/>
          <w:szCs w:val="32"/>
          <w:lang w:val="uk-UA"/>
        </w:rPr>
      </w:pPr>
      <w:r w:rsidRPr="008C55CC">
        <w:rPr>
          <w:b/>
          <w:sz w:val="32"/>
          <w:szCs w:val="32"/>
          <w:lang w:val="uk-UA"/>
        </w:rPr>
        <w:t>2025</w:t>
      </w:r>
      <w:r w:rsidRPr="008C55CC">
        <w:rPr>
          <w:lang w:val="uk-UA"/>
        </w:rPr>
        <w:br w:type="page"/>
      </w:r>
    </w:p>
    <w:p w:rsidR="006B07E8" w:rsidRPr="008C55CC" w:rsidRDefault="0027417C">
      <w:pPr>
        <w:pStyle w:val="aa"/>
        <w:spacing w:before="0" w:line="360" w:lineRule="auto"/>
        <w:ind w:firstLine="450"/>
        <w:jc w:val="both"/>
        <w:rPr>
          <w:lang w:val="uk-UA"/>
        </w:rPr>
      </w:pPr>
      <w:r w:rsidRPr="008C55CC">
        <w:rPr>
          <w:b/>
          <w:sz w:val="28"/>
          <w:szCs w:val="28"/>
          <w:lang w:val="uk-UA"/>
        </w:rPr>
        <w:lastRenderedPageBreak/>
        <w:t>1. Загальна частина</w:t>
      </w:r>
    </w:p>
    <w:p w:rsidR="006B07E8" w:rsidRPr="008C55CC" w:rsidRDefault="0027417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8C55CC">
        <w:rPr>
          <w:sz w:val="28"/>
          <w:szCs w:val="28"/>
          <w:lang w:val="uk-UA"/>
        </w:rPr>
        <w:t xml:space="preserve">1.1. Положення про присвоєння мікрокваліфікацій (далі – Положення) в Тернопільському національному </w:t>
      </w:r>
      <w:r w:rsidRPr="008C55CC">
        <w:rPr>
          <w:sz w:val="28"/>
          <w:szCs w:val="28"/>
          <w:lang w:val="uk-UA"/>
        </w:rPr>
        <w:t>технічному університеті імені Івана Пулюя (далі – Університет) є нормативним документом університету, що визначає процедуру присвоєння мікрокваліфікацій.</w:t>
      </w:r>
    </w:p>
    <w:p w:rsidR="006B07E8" w:rsidRPr="008C55CC" w:rsidRDefault="0027417C">
      <w:pPr>
        <w:tabs>
          <w:tab w:val="left" w:pos="736"/>
        </w:tabs>
        <w:spacing w:line="360" w:lineRule="auto"/>
        <w:ind w:firstLine="510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 xml:space="preserve">1.2. Метою запровадження короткострокових освітніх програм в Університеті є </w:t>
      </w:r>
      <w:r w:rsidRPr="008C55CC">
        <w:rPr>
          <w:rStyle w:val="a3"/>
          <w:color w:val="auto"/>
          <w:sz w:val="28"/>
          <w:szCs w:val="28"/>
          <w:u w:val="none"/>
          <w:lang w:val="uk-UA"/>
        </w:rPr>
        <w:t xml:space="preserve">організація неформального </w:t>
      </w:r>
      <w:r w:rsidRPr="008C55CC">
        <w:rPr>
          <w:rStyle w:val="a3"/>
          <w:color w:val="auto"/>
          <w:sz w:val="28"/>
          <w:szCs w:val="28"/>
          <w:u w:val="none"/>
          <w:lang w:val="uk-UA"/>
        </w:rPr>
        <w:t>навчання, створення умов для особистісного і професійного розвитку, реалізація концепції навчання впродовж життя</w:t>
      </w:r>
      <w:r w:rsidRPr="008C55CC">
        <w:rPr>
          <w:sz w:val="28"/>
          <w:szCs w:val="28"/>
          <w:lang w:val="uk-UA"/>
        </w:rPr>
        <w:t xml:space="preserve">, реагування на потреби ринку праці, покращення розвитку навичок інноваційної, підприємницької та міжкультурної </w:t>
      </w:r>
      <w:proofErr w:type="spellStart"/>
      <w:r w:rsidRPr="008C55CC">
        <w:rPr>
          <w:sz w:val="28"/>
          <w:szCs w:val="28"/>
          <w:lang w:val="uk-UA"/>
        </w:rPr>
        <w:t>діяльностей</w:t>
      </w:r>
      <w:proofErr w:type="spellEnd"/>
      <w:r w:rsidRPr="008C55CC">
        <w:rPr>
          <w:sz w:val="28"/>
          <w:szCs w:val="28"/>
          <w:lang w:val="uk-UA"/>
        </w:rPr>
        <w:t>.</w:t>
      </w:r>
    </w:p>
    <w:p w:rsidR="006B07E8" w:rsidRPr="008C55CC" w:rsidRDefault="0027417C">
      <w:pPr>
        <w:spacing w:line="360" w:lineRule="auto"/>
        <w:ind w:firstLine="510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>1.3. Організація ко</w:t>
      </w:r>
      <w:r w:rsidRPr="008C55CC">
        <w:rPr>
          <w:sz w:val="28"/>
          <w:szCs w:val="28"/>
          <w:lang w:val="uk-UA"/>
        </w:rPr>
        <w:t xml:space="preserve">роткострокових освітніх програм та присвоєння мікрокваліфікацій в Університеті відповідає Стандартам і рекомендаціям щодо забезпечення якості в Європейському просторі вищої освіти та регулюється законами України “Про освіту”, </w:t>
      </w:r>
      <w:r w:rsidRPr="008C55CC">
        <w:rPr>
          <w:sz w:val="28"/>
          <w:szCs w:val="28"/>
          <w:lang w:val="uk-UA"/>
        </w:rPr>
        <w:t>“</w:t>
      </w:r>
      <w:r w:rsidRPr="008C55CC">
        <w:rPr>
          <w:sz w:val="28"/>
          <w:szCs w:val="28"/>
          <w:lang w:val="uk-UA"/>
        </w:rPr>
        <w:t>Про вищу освіту</w:t>
      </w:r>
      <w:r w:rsidRPr="008C55CC">
        <w:rPr>
          <w:sz w:val="28"/>
          <w:szCs w:val="28"/>
          <w:lang w:val="uk-UA"/>
        </w:rPr>
        <w:t>”</w:t>
      </w:r>
      <w:r w:rsidRPr="008C55CC">
        <w:rPr>
          <w:sz w:val="28"/>
          <w:szCs w:val="28"/>
          <w:lang w:val="uk-UA"/>
        </w:rPr>
        <w:t>,</w:t>
      </w:r>
      <w:r w:rsidRPr="008C55CC">
        <w:rPr>
          <w:sz w:val="28"/>
          <w:szCs w:val="28"/>
          <w:lang w:val="uk-UA"/>
        </w:rPr>
        <w:t xml:space="preserve"> </w:t>
      </w:r>
      <w:r w:rsidRPr="008C55CC">
        <w:rPr>
          <w:sz w:val="28"/>
          <w:szCs w:val="28"/>
          <w:lang w:val="uk-UA"/>
        </w:rPr>
        <w:t xml:space="preserve">Статутом </w:t>
      </w:r>
      <w:r w:rsidRPr="008C55CC">
        <w:rPr>
          <w:sz w:val="28"/>
          <w:szCs w:val="28"/>
          <w:lang w:val="uk-UA"/>
        </w:rPr>
        <w:t>ТН</w:t>
      </w:r>
      <w:r w:rsidRPr="008C55CC">
        <w:rPr>
          <w:sz w:val="28"/>
          <w:szCs w:val="28"/>
          <w:lang w:val="uk-UA"/>
        </w:rPr>
        <w:t xml:space="preserve">ТУ ім. І. Пулюя, Стратегією та Концепцією розвитку ТНТУ ім. І. Пулюя, Положенням про організацію освітнього процесу в ТНТУ ім. І. Пулюя, Положенням про </w:t>
      </w:r>
      <w:r w:rsidRPr="008C55CC">
        <w:rPr>
          <w:rStyle w:val="FontStyle26"/>
          <w:b w:val="0"/>
          <w:bCs w:val="0"/>
          <w:color w:val="auto"/>
          <w:sz w:val="28"/>
          <w:szCs w:val="28"/>
          <w:lang w:val="uk-UA"/>
        </w:rPr>
        <w:t xml:space="preserve"> підвищення кваліфікації педагогічних і науково-педагогічних працівників ТНТУ ім. І. Пулюя</w:t>
      </w:r>
      <w:r w:rsidRPr="008C55CC">
        <w:rPr>
          <w:sz w:val="28"/>
          <w:szCs w:val="28"/>
          <w:lang w:val="uk-UA"/>
        </w:rPr>
        <w:t>, п</w:t>
      </w:r>
      <w:r w:rsidRPr="008C55CC">
        <w:rPr>
          <w:rStyle w:val="a3"/>
          <w:color w:val="auto"/>
          <w:sz w:val="28"/>
          <w:szCs w:val="28"/>
          <w:u w:val="none"/>
          <w:lang w:val="uk-UA"/>
        </w:rPr>
        <w:t>остановою К</w:t>
      </w:r>
      <w:r w:rsidRPr="008C55CC">
        <w:rPr>
          <w:rStyle w:val="a3"/>
          <w:color w:val="auto"/>
          <w:sz w:val="28"/>
          <w:szCs w:val="28"/>
          <w:u w:val="none"/>
          <w:lang w:val="uk-UA"/>
        </w:rPr>
        <w:t xml:space="preserve">абінету Міністрів України “Про затвердження Національної рамки кваліфікацій” від 23 листопада 2011 р. № 1341 </w:t>
      </w:r>
      <w:r w:rsidRPr="008C55CC">
        <w:rPr>
          <w:sz w:val="28"/>
          <w:szCs w:val="28"/>
          <w:lang w:val="uk-UA"/>
        </w:rPr>
        <w:t xml:space="preserve"> та цим Положенням.  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 xml:space="preserve">1.4. </w:t>
      </w:r>
      <w:r w:rsidRPr="008C55CC">
        <w:rPr>
          <w:rStyle w:val="a3"/>
          <w:color w:val="auto"/>
          <w:sz w:val="28"/>
          <w:szCs w:val="28"/>
          <w:u w:val="none"/>
          <w:lang w:val="uk-UA"/>
        </w:rPr>
        <w:t>Мікрокваліфікація</w:t>
      </w:r>
      <w:r w:rsidRPr="008C55CC">
        <w:rPr>
          <w:sz w:val="28"/>
          <w:szCs w:val="28"/>
          <w:lang w:val="uk-UA"/>
        </w:rPr>
        <w:t xml:space="preserve"> — засвідчена відповідним документом сукупність результатів невеликого за обсягом навчання, яке забезпе</w:t>
      </w:r>
      <w:r w:rsidRPr="008C55CC">
        <w:rPr>
          <w:sz w:val="28"/>
          <w:szCs w:val="28"/>
          <w:lang w:val="uk-UA"/>
        </w:rPr>
        <w:t>чило здобуття особою визначених компетентностей. Мікрокваліфікації є інструментом розширення доступу до освіти, що дозволяє особам опановувати окремі компетентності без обов’язкового залучення до повної освітньої програми. Мікрокваліфікації присвоюються ос</w:t>
      </w:r>
      <w:r w:rsidRPr="008C55CC">
        <w:rPr>
          <w:sz w:val="28"/>
          <w:szCs w:val="28"/>
          <w:lang w:val="uk-UA"/>
        </w:rPr>
        <w:t xml:space="preserve">обам, </w:t>
      </w:r>
      <w:r w:rsidRPr="008C55CC">
        <w:rPr>
          <w:sz w:val="28"/>
          <w:szCs w:val="28"/>
          <w:lang w:val="uk-UA"/>
        </w:rPr>
        <w:t>які</w:t>
      </w:r>
      <w:r w:rsidRPr="008C55CC">
        <w:rPr>
          <w:sz w:val="28"/>
          <w:szCs w:val="28"/>
          <w:lang w:val="uk-UA"/>
        </w:rPr>
        <w:t xml:space="preserve"> набули знань, умінь, навичок або компетентностей, які відповідають соціальним, культурним та особистим освітнім потребам або потребам ринку праці.</w:t>
      </w:r>
    </w:p>
    <w:p w:rsidR="006B07E8" w:rsidRPr="008C55CC" w:rsidRDefault="0027417C">
      <w:pPr>
        <w:pStyle w:val="10"/>
        <w:shd w:val="clear" w:color="auto" w:fill="auto"/>
        <w:spacing w:line="360" w:lineRule="auto"/>
        <w:ind w:firstLine="567"/>
        <w:rPr>
          <w:sz w:val="28"/>
          <w:szCs w:val="28"/>
          <w:lang w:eastAsia="zh-CN"/>
        </w:rPr>
      </w:pPr>
      <w:r w:rsidRPr="008C55CC">
        <w:rPr>
          <w:sz w:val="28"/>
          <w:szCs w:val="28"/>
        </w:rPr>
        <w:t>1.5. Університет</w:t>
      </w:r>
      <w:r w:rsidRPr="008C55CC">
        <w:rPr>
          <w:sz w:val="28"/>
          <w:szCs w:val="28"/>
          <w:lang w:eastAsia="zh-CN"/>
        </w:rPr>
        <w:t xml:space="preserve"> зберігає дані щодо </w:t>
      </w:r>
      <w:r w:rsidRPr="008C55CC">
        <w:rPr>
          <w:sz w:val="28"/>
          <w:szCs w:val="28"/>
        </w:rPr>
        <w:t>присвоєних мікрокваліфікацій</w:t>
      </w:r>
      <w:r w:rsidRPr="008C55CC">
        <w:rPr>
          <w:sz w:val="28"/>
          <w:szCs w:val="28"/>
          <w:lang w:eastAsia="zh-CN"/>
        </w:rPr>
        <w:t xml:space="preserve"> з метою забезпечення перевірки дос</w:t>
      </w:r>
      <w:r w:rsidRPr="008C55CC">
        <w:rPr>
          <w:sz w:val="28"/>
          <w:szCs w:val="28"/>
          <w:lang w:eastAsia="zh-CN"/>
        </w:rPr>
        <w:t>товірності сертифікатів, підвищення прозорості та довіри між зацікавленими сторонами.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lastRenderedPageBreak/>
        <w:t>1.6. За результатами короткострокових освітніх пр</w:t>
      </w:r>
      <w:r w:rsidRPr="008C55CC">
        <w:rPr>
          <w:sz w:val="28"/>
          <w:szCs w:val="28"/>
          <w:lang w:val="uk-UA"/>
        </w:rPr>
        <w:t>ограм Університет видає сертифікат про здобуття мікрокваліфікації.</w:t>
      </w:r>
    </w:p>
    <w:p w:rsidR="006B07E8" w:rsidRPr="008C55CC" w:rsidRDefault="006B07E8">
      <w:pPr>
        <w:spacing w:line="360" w:lineRule="auto"/>
        <w:ind w:firstLine="709"/>
        <w:jc w:val="both"/>
        <w:rPr>
          <w:lang w:val="uk-UA"/>
        </w:rPr>
      </w:pPr>
    </w:p>
    <w:p w:rsidR="006B07E8" w:rsidRPr="008C55CC" w:rsidRDefault="0027417C">
      <w:pPr>
        <w:pStyle w:val="aa"/>
        <w:spacing w:before="0" w:line="360" w:lineRule="auto"/>
        <w:ind w:firstLine="450"/>
        <w:jc w:val="both"/>
        <w:rPr>
          <w:lang w:val="uk-UA"/>
        </w:rPr>
      </w:pPr>
      <w:r w:rsidRPr="008C55CC">
        <w:rPr>
          <w:b/>
          <w:sz w:val="28"/>
          <w:szCs w:val="28"/>
          <w:lang w:val="uk-UA"/>
        </w:rPr>
        <w:t>2. Порядок розроблення та реалізації програм присвоєн</w:t>
      </w:r>
      <w:r w:rsidRPr="008C55CC">
        <w:rPr>
          <w:b/>
          <w:sz w:val="28"/>
          <w:szCs w:val="28"/>
          <w:lang w:val="uk-UA"/>
        </w:rPr>
        <w:t>ня мікрокваліфікацій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 xml:space="preserve">2.1. Програми, за результатами яких Університет присвоює мікрокваліфікації, розробляються структурними підрозділами та центрами  Університету, </w:t>
      </w:r>
      <w:proofErr w:type="spellStart"/>
      <w:r w:rsidRPr="008C55CC">
        <w:rPr>
          <w:sz w:val="28"/>
          <w:szCs w:val="28"/>
          <w:lang w:val="uk-UA"/>
        </w:rPr>
        <w:t>Хабом</w:t>
      </w:r>
      <w:proofErr w:type="spellEnd"/>
      <w:r w:rsidRPr="008C55CC">
        <w:rPr>
          <w:sz w:val="28"/>
          <w:szCs w:val="28"/>
          <w:lang w:val="uk-UA"/>
        </w:rPr>
        <w:t xml:space="preserve"> креативності Університету відповідно до цього положення, Положення про </w:t>
      </w:r>
      <w:r w:rsidRPr="008C55CC">
        <w:rPr>
          <w:rStyle w:val="FontStyle26"/>
          <w:b w:val="0"/>
          <w:bCs w:val="0"/>
          <w:color w:val="auto"/>
          <w:sz w:val="28"/>
          <w:szCs w:val="28"/>
          <w:lang w:val="uk-UA"/>
        </w:rPr>
        <w:t>підвищення квал</w:t>
      </w:r>
      <w:r w:rsidRPr="008C55CC">
        <w:rPr>
          <w:rStyle w:val="FontStyle26"/>
          <w:b w:val="0"/>
          <w:bCs w:val="0"/>
          <w:color w:val="auto"/>
          <w:sz w:val="28"/>
          <w:szCs w:val="28"/>
          <w:lang w:val="uk-UA"/>
        </w:rPr>
        <w:t>іфікації педагогічних і науково-педагогічних працівників</w:t>
      </w:r>
      <w:r w:rsidRPr="008C55CC">
        <w:rPr>
          <w:sz w:val="28"/>
          <w:szCs w:val="28"/>
          <w:lang w:val="uk-UA"/>
        </w:rPr>
        <w:t xml:space="preserve">  Тернопільського національного технічного університету імені Івана Пулюя, інших нормативних та розпорядчих документів. Пропозиція програми здобуття мікрокваліфікації (Додаток 1) подається структурним</w:t>
      </w:r>
      <w:r w:rsidRPr="008C55CC">
        <w:rPr>
          <w:sz w:val="28"/>
          <w:szCs w:val="28"/>
          <w:lang w:val="uk-UA"/>
        </w:rPr>
        <w:t xml:space="preserve"> підрозділом, який її ініціює, на розгляд Вченої ради факультету. За рекомендацією Вченої ради факультету програму  присвоєння мікрокваліфікації затверджує Науково-методична рада Університету.</w:t>
      </w:r>
    </w:p>
    <w:p w:rsidR="006B07E8" w:rsidRPr="008C55CC" w:rsidRDefault="0027417C">
      <w:pPr>
        <w:pStyle w:val="a5"/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 xml:space="preserve">2.2. Професійні асоціації, роботодавці та інші </w:t>
      </w:r>
      <w:proofErr w:type="spellStart"/>
      <w:r w:rsidRPr="008C55CC">
        <w:rPr>
          <w:sz w:val="28"/>
          <w:szCs w:val="28"/>
          <w:lang w:val="uk-UA"/>
        </w:rPr>
        <w:t>стейкхолдери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r w:rsidRPr="008C55CC">
        <w:rPr>
          <w:sz w:val="28"/>
          <w:szCs w:val="28"/>
          <w:lang w:val="uk-UA"/>
        </w:rPr>
        <w:t>можуть залучатися до розробки, реалізації, моніторингу, забезпечення якості короткострокових освітніх програм мікрокваліфікацій з метою посилення співпраці між університетом, бізнесом і суспільством для задоволення актуальних освітніх та професійних потреб</w:t>
      </w:r>
      <w:r w:rsidRPr="008C55CC">
        <w:rPr>
          <w:sz w:val="28"/>
          <w:szCs w:val="28"/>
          <w:lang w:val="uk-UA"/>
        </w:rPr>
        <w:t>. Підрозділ, який розробляє короткострокову освітню програму, як правило, консультується з роботодавцями під час дослідження потреб та вимог ринку праці та визначення профілю програми, яка відповідає цим потребам. Враховуючи специфічні особливості мікроква</w:t>
      </w:r>
      <w:r w:rsidRPr="008C55CC">
        <w:rPr>
          <w:sz w:val="28"/>
          <w:szCs w:val="28"/>
          <w:lang w:val="uk-UA"/>
        </w:rPr>
        <w:t>ліфікацій, Університет вживає заходів для залучення учасників та випускників програм як ключових внутрішніх зацікавлених сторін, чий зворотний зв'язок може стати основою для вдосконалення та майбутнього розвитку короткострокових освітніх програм з присвоєн</w:t>
      </w:r>
      <w:r w:rsidRPr="008C55CC">
        <w:rPr>
          <w:sz w:val="28"/>
          <w:szCs w:val="28"/>
          <w:lang w:val="uk-UA"/>
        </w:rPr>
        <w:t>ням мікрокваліфікацій.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>2.3. Мікрокваліфікації, присвоєні в Університеті, відповідають системі забезпечення якості освітніх послуг Університету. Університет забезпечує моніторинг короткострокових освітніх програм з присвоєнням мікрокваліфікацій та вживає ві</w:t>
      </w:r>
      <w:r w:rsidRPr="008C55CC">
        <w:rPr>
          <w:sz w:val="28"/>
          <w:szCs w:val="28"/>
          <w:lang w:val="uk-UA"/>
        </w:rPr>
        <w:t>дповідних заходів для їх покращення.</w:t>
      </w:r>
    </w:p>
    <w:p w:rsidR="006B07E8" w:rsidRPr="008C55CC" w:rsidRDefault="0027417C">
      <w:pPr>
        <w:pStyle w:val="aa"/>
        <w:spacing w:before="0" w:line="360" w:lineRule="auto"/>
        <w:ind w:firstLine="450"/>
        <w:jc w:val="both"/>
        <w:rPr>
          <w:lang w:val="uk-UA"/>
        </w:rPr>
      </w:pPr>
      <w:r w:rsidRPr="008C55CC">
        <w:rPr>
          <w:b/>
          <w:sz w:val="28"/>
          <w:szCs w:val="28"/>
          <w:lang w:val="uk-UA"/>
        </w:rPr>
        <w:lastRenderedPageBreak/>
        <w:t>3. Форма та порядок видачі сертифіката про присвоєння мікрокваліфікації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>3.1. За результатами короткострокових освітніх програм її випускникам видається сертифікат про здобуття мікрокваліфікації із зазначенням назви прог</w:t>
      </w:r>
      <w:r w:rsidRPr="008C55CC">
        <w:rPr>
          <w:sz w:val="28"/>
          <w:szCs w:val="28"/>
          <w:lang w:val="uk-UA"/>
        </w:rPr>
        <w:t xml:space="preserve">рами, здобутих компетентностей та навичок, обсягу підготовки в кредитах ЄКТС (як правило, від 1 до 6 кредитів ЄКТС). </w:t>
      </w:r>
      <w:r w:rsidRPr="008C55CC">
        <w:rPr>
          <w:sz w:val="28"/>
          <w:lang w:val="uk-UA"/>
        </w:rPr>
        <w:t>Сертифікат про присвоєння мікрокваліфікації, як правило, містить такі відомості: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>− ідентифікація особи, якій надається сертифікат;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назва </w:t>
      </w:r>
      <w:r w:rsidRPr="008C55CC">
        <w:rPr>
          <w:sz w:val="28"/>
          <w:lang w:val="uk-UA"/>
        </w:rPr>
        <w:t>короткотермінової освітньої програми;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місце реалізації програми (назва університету), інформація про грантову підтримку, </w:t>
      </w:r>
      <w:proofErr w:type="spellStart"/>
      <w:r w:rsidRPr="008C55CC">
        <w:rPr>
          <w:sz w:val="28"/>
          <w:lang w:val="uk-UA"/>
        </w:rPr>
        <w:t>співфінансування</w:t>
      </w:r>
      <w:proofErr w:type="spellEnd"/>
      <w:r w:rsidRPr="008C55CC">
        <w:rPr>
          <w:sz w:val="28"/>
          <w:lang w:val="uk-UA"/>
        </w:rPr>
        <w:t xml:space="preserve"> тощо;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д</w:t>
      </w:r>
      <w:r w:rsidRPr="008C55CC">
        <w:rPr>
          <w:sz w:val="28"/>
          <w:lang w:val="uk-UA"/>
        </w:rPr>
        <w:t>ата видачі;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н</w:t>
      </w:r>
      <w:r w:rsidRPr="008C55CC">
        <w:rPr>
          <w:sz w:val="28"/>
          <w:lang w:val="uk-UA"/>
        </w:rPr>
        <w:t xml:space="preserve">авчальне навантаження у кредитах </w:t>
      </w:r>
      <w:r w:rsidRPr="008C55CC">
        <w:rPr>
          <w:sz w:val="28"/>
          <w:szCs w:val="28"/>
          <w:lang w:val="uk-UA"/>
        </w:rPr>
        <w:t>ЄКТС</w:t>
      </w:r>
      <w:r w:rsidRPr="008C55CC">
        <w:rPr>
          <w:sz w:val="28"/>
          <w:lang w:val="uk-UA"/>
        </w:rPr>
        <w:t>, яким забезпечено досягнення результатів навчання;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р</w:t>
      </w:r>
      <w:r w:rsidRPr="008C55CC">
        <w:rPr>
          <w:sz w:val="28"/>
          <w:lang w:val="uk-UA"/>
        </w:rPr>
        <w:t>івень освіти, якому відповідає отримана мікрокваліфікація;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ф</w:t>
      </w:r>
      <w:r w:rsidRPr="008C55CC">
        <w:rPr>
          <w:sz w:val="28"/>
          <w:lang w:val="uk-UA"/>
        </w:rPr>
        <w:t>орма участі в освітній діяльності (онлайн, очна або змішана).</w:t>
      </w:r>
    </w:p>
    <w:p w:rsidR="006B07E8" w:rsidRPr="008C55CC" w:rsidRDefault="0027417C">
      <w:pPr>
        <w:spacing w:line="360" w:lineRule="auto"/>
        <w:ind w:firstLine="567"/>
        <w:jc w:val="both"/>
        <w:rPr>
          <w:lang w:val="uk-UA"/>
        </w:rPr>
      </w:pPr>
      <w:r w:rsidRPr="008C55CC">
        <w:rPr>
          <w:sz w:val="28"/>
          <w:lang w:val="uk-UA"/>
        </w:rPr>
        <w:t>3.2. Додаток до сертифіката про набуття мікрокваліфікації може містити: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п</w:t>
      </w:r>
      <w:r w:rsidRPr="008C55CC">
        <w:rPr>
          <w:sz w:val="28"/>
          <w:lang w:val="uk-UA"/>
        </w:rPr>
        <w:t>ерелік набутих чи вдосконалених компетентностей;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р</w:t>
      </w:r>
      <w:r w:rsidRPr="008C55CC">
        <w:rPr>
          <w:sz w:val="28"/>
          <w:lang w:val="uk-UA"/>
        </w:rPr>
        <w:t>езультати навчання;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форма</w:t>
      </w:r>
      <w:r w:rsidRPr="008C55CC">
        <w:rPr>
          <w:sz w:val="28"/>
          <w:lang w:val="uk-UA"/>
        </w:rPr>
        <w:t xml:space="preserve"> оцінювання (тестування, застосування навичок, портфоліо, визнання попереднього навчання тощо);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з</w:t>
      </w:r>
      <w:r w:rsidRPr="008C55CC">
        <w:rPr>
          <w:sz w:val="28"/>
          <w:lang w:val="uk-UA"/>
        </w:rPr>
        <w:t>аходи забезпечення якості;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в</w:t>
      </w:r>
      <w:r w:rsidRPr="008C55CC">
        <w:rPr>
          <w:sz w:val="28"/>
          <w:lang w:val="uk-UA"/>
        </w:rPr>
        <w:t xml:space="preserve">аріанти інтеграції чи </w:t>
      </w:r>
      <w:proofErr w:type="spellStart"/>
      <w:r w:rsidRPr="008C55CC">
        <w:rPr>
          <w:sz w:val="28"/>
          <w:lang w:val="uk-UA"/>
        </w:rPr>
        <w:t>стекування</w:t>
      </w:r>
      <w:proofErr w:type="spellEnd"/>
      <w:r w:rsidRPr="008C55CC">
        <w:rPr>
          <w:sz w:val="28"/>
          <w:lang w:val="uk-UA"/>
        </w:rPr>
        <w:t xml:space="preserve"> (автономні, незалежні чи інтегровані мікрокв</w:t>
      </w:r>
      <w:r w:rsidRPr="008C55CC">
        <w:rPr>
          <w:sz w:val="28"/>
          <w:lang w:val="uk-UA"/>
        </w:rPr>
        <w:t>а</w:t>
      </w:r>
      <w:r w:rsidRPr="008C55CC">
        <w:rPr>
          <w:sz w:val="28"/>
          <w:lang w:val="uk-UA"/>
        </w:rPr>
        <w:t>ліфікації, які можна п</w:t>
      </w:r>
      <w:r w:rsidRPr="008C55CC">
        <w:rPr>
          <w:sz w:val="28"/>
          <w:lang w:val="uk-UA"/>
        </w:rPr>
        <w:t>оєднувати з іншими мікрокв</w:t>
      </w:r>
      <w:r w:rsidRPr="008C55CC">
        <w:rPr>
          <w:sz w:val="28"/>
          <w:lang w:val="uk-UA"/>
        </w:rPr>
        <w:t>а</w:t>
      </w:r>
      <w:r w:rsidRPr="008C55CC">
        <w:rPr>
          <w:sz w:val="28"/>
          <w:lang w:val="uk-UA"/>
        </w:rPr>
        <w:t>ліфікаціями</w:t>
      </w:r>
      <w:r w:rsidRPr="008C55CC">
        <w:rPr>
          <w:sz w:val="28"/>
          <w:lang w:val="uk-UA"/>
        </w:rPr>
        <w:t>);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і</w:t>
      </w:r>
      <w:r w:rsidRPr="008C55CC">
        <w:rPr>
          <w:sz w:val="28"/>
          <w:lang w:val="uk-UA"/>
        </w:rPr>
        <w:t xml:space="preserve">нформація про спосіб підтвердження </w:t>
      </w:r>
      <w:r w:rsidRPr="008C55CC">
        <w:rPr>
          <w:sz w:val="28"/>
          <w:lang w:val="uk-UA"/>
        </w:rPr>
        <w:t>автентичності</w:t>
      </w:r>
      <w:r w:rsidRPr="008C55CC">
        <w:rPr>
          <w:sz w:val="28"/>
          <w:lang w:val="uk-UA"/>
        </w:rPr>
        <w:t xml:space="preserve"> документа;</w:t>
      </w:r>
    </w:p>
    <w:p w:rsidR="006B07E8" w:rsidRPr="008C55CC" w:rsidRDefault="0027417C">
      <w:pPr>
        <w:spacing w:line="480" w:lineRule="auto"/>
        <w:ind w:firstLine="709"/>
        <w:jc w:val="both"/>
        <w:rPr>
          <w:lang w:val="uk-UA"/>
        </w:rPr>
      </w:pPr>
      <w:r w:rsidRPr="008C55CC">
        <w:rPr>
          <w:sz w:val="28"/>
          <w:lang w:val="uk-UA"/>
        </w:rPr>
        <w:t xml:space="preserve">− </w:t>
      </w:r>
      <w:r w:rsidRPr="008C55CC">
        <w:rPr>
          <w:sz w:val="28"/>
          <w:lang w:val="uk-UA"/>
        </w:rPr>
        <w:t>і</w:t>
      </w:r>
      <w:r w:rsidRPr="008C55CC">
        <w:rPr>
          <w:sz w:val="28"/>
          <w:lang w:val="uk-UA"/>
        </w:rPr>
        <w:t>нша інформація.</w:t>
      </w:r>
    </w:p>
    <w:p w:rsidR="006B07E8" w:rsidRPr="008C55CC" w:rsidRDefault="0027417C">
      <w:pPr>
        <w:autoSpaceDE w:val="0"/>
        <w:spacing w:line="360" w:lineRule="auto"/>
        <w:ind w:firstLine="430"/>
        <w:jc w:val="both"/>
        <w:rPr>
          <w:sz w:val="28"/>
          <w:lang w:val="uk-UA"/>
        </w:rPr>
      </w:pPr>
      <w:r w:rsidRPr="008C55CC">
        <w:rPr>
          <w:b/>
          <w:sz w:val="28"/>
          <w:szCs w:val="28"/>
          <w:lang w:val="uk-UA"/>
        </w:rPr>
        <w:t>4. Фінансування та інформаційна підтримка короткострокових освітніх програм</w:t>
      </w:r>
      <w:r w:rsidRPr="008C55CC">
        <w:rPr>
          <w:rStyle w:val="FontStyle25"/>
          <w:b/>
          <w:sz w:val="28"/>
          <w:szCs w:val="28"/>
          <w:lang w:val="uk-UA"/>
        </w:rPr>
        <w:t xml:space="preserve"> 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t xml:space="preserve">4.1. </w:t>
      </w:r>
      <w:r w:rsidRPr="008C55CC">
        <w:rPr>
          <w:sz w:val="28"/>
          <w:szCs w:val="28"/>
          <w:lang w:val="uk-UA"/>
        </w:rPr>
        <w:t>Університет забезпечує належні умови для реалізації</w:t>
      </w:r>
      <w:r w:rsidRPr="008C55CC">
        <w:rPr>
          <w:sz w:val="28"/>
          <w:szCs w:val="28"/>
          <w:lang w:val="uk-UA"/>
        </w:rPr>
        <w:t xml:space="preserve"> </w:t>
      </w:r>
      <w:r w:rsidRPr="008C55CC">
        <w:rPr>
          <w:sz w:val="28"/>
          <w:szCs w:val="28"/>
          <w:lang w:val="uk-UA"/>
        </w:rPr>
        <w:t xml:space="preserve">короткострокових освітніх програм, зокрема на базі </w:t>
      </w:r>
      <w:proofErr w:type="spellStart"/>
      <w:r w:rsidRPr="008C55CC">
        <w:rPr>
          <w:sz w:val="28"/>
          <w:szCs w:val="28"/>
          <w:lang w:val="uk-UA"/>
        </w:rPr>
        <w:t>Хабу</w:t>
      </w:r>
      <w:proofErr w:type="spellEnd"/>
      <w:r w:rsidRPr="008C55CC">
        <w:rPr>
          <w:sz w:val="28"/>
          <w:szCs w:val="28"/>
          <w:lang w:val="uk-UA"/>
        </w:rPr>
        <w:t xml:space="preserve"> креативності, розміщуючи інформацію про ці програми на офіційних веб-ресурсах.</w:t>
      </w:r>
    </w:p>
    <w:p w:rsidR="006B07E8" w:rsidRPr="008C55CC" w:rsidRDefault="0027417C">
      <w:pPr>
        <w:spacing w:line="360" w:lineRule="auto"/>
        <w:ind w:firstLine="709"/>
        <w:jc w:val="both"/>
        <w:rPr>
          <w:lang w:val="uk-UA"/>
        </w:rPr>
      </w:pPr>
      <w:r w:rsidRPr="008C55CC">
        <w:rPr>
          <w:sz w:val="28"/>
          <w:szCs w:val="28"/>
          <w:lang w:val="uk-UA"/>
        </w:rPr>
        <w:lastRenderedPageBreak/>
        <w:t>4.2. Фінансування та матеріально-технічне забезпечення організації короткострокових освітніх програм з присвоєнням мікро</w:t>
      </w:r>
      <w:r w:rsidRPr="008C55CC">
        <w:rPr>
          <w:sz w:val="28"/>
          <w:szCs w:val="28"/>
          <w:lang w:val="uk-UA"/>
        </w:rPr>
        <w:t xml:space="preserve">кваліфікацій   здійснюється за кошти юридичних та фізичних осіб, Грантової Угоди №101129457 за міжнародним </w:t>
      </w:r>
      <w:proofErr w:type="spellStart"/>
      <w:r w:rsidRPr="008C55CC">
        <w:rPr>
          <w:sz w:val="28"/>
          <w:szCs w:val="28"/>
          <w:lang w:val="uk-UA"/>
        </w:rPr>
        <w:t>проєктом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r w:rsidRPr="008C55CC">
        <w:rPr>
          <w:sz w:val="28"/>
          <w:szCs w:val="28"/>
          <w:lang w:val="uk-UA"/>
        </w:rPr>
        <w:t>ERASMUS</w:t>
      </w:r>
      <w:r w:rsidRPr="008C55CC">
        <w:rPr>
          <w:sz w:val="28"/>
          <w:szCs w:val="28"/>
          <w:lang w:val="uk-UA"/>
        </w:rPr>
        <w:t>-</w:t>
      </w:r>
      <w:r w:rsidRPr="008C55CC">
        <w:rPr>
          <w:sz w:val="28"/>
          <w:szCs w:val="28"/>
          <w:lang w:val="uk-UA"/>
        </w:rPr>
        <w:t>EDU</w:t>
      </w:r>
      <w:r w:rsidRPr="008C55CC">
        <w:rPr>
          <w:sz w:val="28"/>
          <w:szCs w:val="28"/>
          <w:lang w:val="uk-UA"/>
        </w:rPr>
        <w:t>-2023-</w:t>
      </w:r>
      <w:r w:rsidRPr="008C55CC">
        <w:rPr>
          <w:sz w:val="28"/>
          <w:szCs w:val="28"/>
          <w:lang w:val="uk-UA"/>
        </w:rPr>
        <w:t>CBHE</w:t>
      </w:r>
      <w:r w:rsidRPr="008C55CC">
        <w:rPr>
          <w:sz w:val="28"/>
          <w:szCs w:val="28"/>
          <w:lang w:val="uk-UA"/>
        </w:rPr>
        <w:t>-</w:t>
      </w:r>
      <w:r w:rsidRPr="008C55CC">
        <w:rPr>
          <w:sz w:val="28"/>
          <w:szCs w:val="28"/>
          <w:lang w:val="uk-UA"/>
        </w:rPr>
        <w:t>STRAND</w:t>
      </w:r>
      <w:r w:rsidRPr="008C55CC">
        <w:rPr>
          <w:sz w:val="28"/>
          <w:szCs w:val="28"/>
          <w:lang w:val="uk-UA"/>
        </w:rPr>
        <w:t xml:space="preserve">-1 </w:t>
      </w:r>
      <w:r w:rsidRPr="008C55CC">
        <w:rPr>
          <w:sz w:val="28"/>
          <w:szCs w:val="28"/>
          <w:lang w:val="uk-UA"/>
        </w:rPr>
        <w:t xml:space="preserve">«Розвиток підприємливості, креативності та міжкультурних компетенцій для якісного викладання в Україні» </w:t>
      </w:r>
      <w:r w:rsidRPr="008C55CC">
        <w:rPr>
          <w:sz w:val="28"/>
          <w:szCs w:val="28"/>
          <w:lang w:val="uk-UA"/>
        </w:rPr>
        <w:t>(«</w:t>
      </w:r>
      <w:proofErr w:type="spellStart"/>
      <w:r w:rsidRPr="008C55CC">
        <w:rPr>
          <w:sz w:val="28"/>
          <w:szCs w:val="28"/>
          <w:lang w:val="uk-UA"/>
        </w:rPr>
        <w:t>Stepping</w:t>
      </w:r>
      <w:proofErr w:type="spellEnd"/>
      <w:r w:rsidRPr="008C55CC">
        <w:rPr>
          <w:sz w:val="28"/>
          <w:szCs w:val="28"/>
          <w:lang w:val="uk-UA"/>
        </w:rPr>
        <w:t xml:space="preserve"> – </w:t>
      </w:r>
      <w:proofErr w:type="spellStart"/>
      <w:r w:rsidRPr="008C55CC">
        <w:rPr>
          <w:sz w:val="28"/>
          <w:szCs w:val="28"/>
          <w:lang w:val="uk-UA"/>
        </w:rPr>
        <w:t>up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Talent</w:t>
      </w:r>
      <w:proofErr w:type="spellEnd"/>
      <w:r w:rsidRPr="008C55CC">
        <w:rPr>
          <w:sz w:val="28"/>
          <w:szCs w:val="28"/>
          <w:lang w:val="uk-UA"/>
        </w:rPr>
        <w:t xml:space="preserve">, </w:t>
      </w:r>
      <w:proofErr w:type="spellStart"/>
      <w:r w:rsidRPr="008C55CC">
        <w:rPr>
          <w:sz w:val="28"/>
          <w:szCs w:val="28"/>
          <w:lang w:val="uk-UA"/>
        </w:rPr>
        <w:t>Creativity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and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Entrepreneurship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Leadership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Program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from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High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Quality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Teaching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in</w:t>
      </w:r>
      <w:proofErr w:type="spellEnd"/>
      <w:r w:rsidRPr="008C55CC">
        <w:rPr>
          <w:sz w:val="28"/>
          <w:szCs w:val="28"/>
          <w:lang w:val="uk-UA"/>
        </w:rPr>
        <w:t xml:space="preserve"> </w:t>
      </w:r>
      <w:proofErr w:type="spellStart"/>
      <w:r w:rsidRPr="008C55CC">
        <w:rPr>
          <w:sz w:val="28"/>
          <w:szCs w:val="28"/>
          <w:lang w:val="uk-UA"/>
        </w:rPr>
        <w:t>Ukraine</w:t>
      </w:r>
      <w:proofErr w:type="spellEnd"/>
      <w:r w:rsidRPr="008C55CC">
        <w:rPr>
          <w:sz w:val="28"/>
          <w:szCs w:val="28"/>
          <w:lang w:val="uk-UA"/>
        </w:rPr>
        <w:t>»</w:t>
      </w:r>
      <w:r w:rsidRPr="008C55CC">
        <w:rPr>
          <w:sz w:val="28"/>
          <w:szCs w:val="28"/>
          <w:lang w:val="uk-UA"/>
        </w:rPr>
        <w:t xml:space="preserve"> </w:t>
      </w:r>
      <w:r w:rsidRPr="008C55CC">
        <w:rPr>
          <w:sz w:val="28"/>
          <w:szCs w:val="28"/>
          <w:lang w:val="uk-UA"/>
        </w:rPr>
        <w:t>– «UA-</w:t>
      </w:r>
      <w:proofErr w:type="spellStart"/>
      <w:r w:rsidRPr="008C55CC">
        <w:rPr>
          <w:sz w:val="28"/>
          <w:szCs w:val="28"/>
          <w:lang w:val="uk-UA"/>
        </w:rPr>
        <w:t>Talent</w:t>
      </w:r>
      <w:proofErr w:type="spellEnd"/>
      <w:r w:rsidRPr="008C55CC">
        <w:rPr>
          <w:sz w:val="28"/>
          <w:szCs w:val="28"/>
          <w:lang w:val="uk-UA"/>
        </w:rPr>
        <w:t>-</w:t>
      </w:r>
      <w:proofErr w:type="spellStart"/>
      <w:r w:rsidRPr="008C55CC">
        <w:rPr>
          <w:sz w:val="28"/>
          <w:szCs w:val="28"/>
          <w:lang w:val="uk-UA"/>
        </w:rPr>
        <w:t>Up</w:t>
      </w:r>
      <w:proofErr w:type="spellEnd"/>
      <w:r w:rsidRPr="008C55CC">
        <w:rPr>
          <w:sz w:val="28"/>
          <w:szCs w:val="28"/>
          <w:lang w:val="uk-UA"/>
        </w:rPr>
        <w:t>») до завершення терміну її дії, за рахунок фінансування, передбаченого іншими грантовими угодами, в порядку надання освітніх п</w:t>
      </w:r>
      <w:r w:rsidRPr="008C55CC">
        <w:rPr>
          <w:sz w:val="28"/>
          <w:szCs w:val="28"/>
          <w:lang w:val="uk-UA"/>
        </w:rPr>
        <w:t xml:space="preserve">ослуг з підвищення кваліфікації </w:t>
      </w:r>
      <w:r w:rsidRPr="008C55CC">
        <w:rPr>
          <w:color w:val="000000"/>
          <w:sz w:val="28"/>
          <w:szCs w:val="28"/>
          <w:lang w:val="uk-UA"/>
        </w:rPr>
        <w:t>та з інших джерел.</w:t>
      </w:r>
    </w:p>
    <w:p w:rsidR="006B07E8" w:rsidRDefault="006B07E8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417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417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417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417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27417C" w:rsidRDefault="0027417C" w:rsidP="0027417C">
      <w:pPr>
        <w:spacing w:line="360" w:lineRule="auto"/>
        <w:jc w:val="both"/>
        <w:rPr>
          <w:sz w:val="28"/>
          <w:szCs w:val="28"/>
          <w:lang w:val="uk-UA"/>
        </w:rPr>
      </w:pPr>
      <w:r w:rsidRPr="0027417C">
        <w:rPr>
          <w:sz w:val="28"/>
          <w:szCs w:val="28"/>
          <w:lang w:val="uk-UA"/>
        </w:rPr>
        <w:drawing>
          <wp:inline distT="0" distB="0" distL="0" distR="0" wp14:anchorId="161EC680" wp14:editId="787DAAF2">
            <wp:extent cx="6120765" cy="18059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17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27417C" w:rsidRPr="008C55CC" w:rsidRDefault="0027417C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:rsidR="006B07E8" w:rsidRPr="008C55CC" w:rsidRDefault="006B07E8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</w:p>
    <w:p w:rsidR="006B07E8" w:rsidRPr="008C55CC" w:rsidRDefault="0027417C">
      <w:pPr>
        <w:spacing w:line="288" w:lineRule="auto"/>
        <w:rPr>
          <w:sz w:val="28"/>
          <w:szCs w:val="28"/>
          <w:lang w:val="uk-UA"/>
        </w:rPr>
      </w:pPr>
      <w:r w:rsidRPr="008C55CC">
        <w:rPr>
          <w:lang w:val="uk-UA"/>
        </w:rPr>
        <w:br w:type="page"/>
      </w:r>
    </w:p>
    <w:p w:rsidR="006B07E8" w:rsidRPr="008C55CC" w:rsidRDefault="0027417C">
      <w:pPr>
        <w:spacing w:line="288" w:lineRule="auto"/>
        <w:jc w:val="right"/>
        <w:rPr>
          <w:lang w:val="uk-UA"/>
        </w:rPr>
      </w:pPr>
      <w:r w:rsidRPr="008C55CC">
        <w:rPr>
          <w:sz w:val="28"/>
          <w:szCs w:val="28"/>
          <w:lang w:val="uk-UA"/>
        </w:rPr>
        <w:lastRenderedPageBreak/>
        <w:t xml:space="preserve">Додаток </w:t>
      </w:r>
    </w:p>
    <w:p w:rsidR="006B07E8" w:rsidRPr="008C55CC" w:rsidRDefault="006B07E8">
      <w:pPr>
        <w:spacing w:line="288" w:lineRule="auto"/>
        <w:jc w:val="right"/>
        <w:rPr>
          <w:sz w:val="28"/>
          <w:szCs w:val="28"/>
          <w:lang w:val="uk-UA"/>
        </w:rPr>
      </w:pPr>
    </w:p>
    <w:p w:rsidR="006B07E8" w:rsidRPr="008C55CC" w:rsidRDefault="0027417C">
      <w:pPr>
        <w:spacing w:line="288" w:lineRule="auto"/>
        <w:jc w:val="center"/>
        <w:rPr>
          <w:lang w:val="uk-UA"/>
        </w:rPr>
      </w:pPr>
      <w:r w:rsidRPr="008C55CC">
        <w:rPr>
          <w:sz w:val="28"/>
          <w:szCs w:val="28"/>
          <w:lang w:val="uk-UA"/>
        </w:rPr>
        <w:t>Пропозиція програми здобуття мікрокваліфікації</w:t>
      </w:r>
    </w:p>
    <w:p w:rsidR="006B07E8" w:rsidRPr="008C55CC" w:rsidRDefault="006B07E8">
      <w:pPr>
        <w:spacing w:line="288" w:lineRule="auto"/>
        <w:jc w:val="both"/>
        <w:rPr>
          <w:sz w:val="28"/>
          <w:szCs w:val="28"/>
          <w:lang w:val="uk-U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5901"/>
      </w:tblGrid>
      <w:tr w:rsidR="006B07E8" w:rsidRPr="008C55CC">
        <w:trPr>
          <w:trHeight w:val="513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Назва мікрокваліфікації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512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Кількість кредитів ЄКТС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625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rPr>
                <w:lang w:val="uk-UA"/>
              </w:rPr>
            </w:pPr>
            <w:r w:rsidRPr="008C55CC">
              <w:rPr>
                <w:lang w:val="uk-UA"/>
              </w:rPr>
              <w:t>Надавач(і) / Провайдер(и)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450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rPr>
                <w:lang w:val="uk-UA"/>
              </w:rPr>
            </w:pPr>
            <w:r w:rsidRPr="008C55CC">
              <w:rPr>
                <w:lang w:val="uk-UA"/>
              </w:rPr>
              <w:t>Мета та завдання мікрокваліфікації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 xml:space="preserve">Додаткові компетентності / поглиблення  компетентностей / нові результати навчання/ </w:t>
            </w:r>
            <w:r w:rsidRPr="008C55CC">
              <w:rPr>
                <w:lang w:val="uk-UA"/>
              </w:rPr>
              <w:t>поглиблення результатів навчання / спеціалізація / професійний розвиток/ …</w:t>
            </w:r>
          </w:p>
        </w:tc>
      </w:tr>
      <w:tr w:rsidR="006B07E8" w:rsidRPr="008C55CC">
        <w:trPr>
          <w:trHeight w:val="484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Рівень освіти, якому відповідає  мікрокваліфікація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484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Результати навчання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450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Компетентності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562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Форма участі в освітній діяльності (онлайн, очна або змішана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562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 xml:space="preserve">Цільові групи для </w:t>
            </w:r>
            <w:r w:rsidRPr="008C55CC">
              <w:rPr>
                <w:lang w:val="uk-UA"/>
              </w:rPr>
              <w:t>навчання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562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Мінімальна кількість слухачів програми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513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proofErr w:type="spellStart"/>
            <w:r w:rsidRPr="008C55CC">
              <w:rPr>
                <w:lang w:val="uk-UA"/>
              </w:rPr>
              <w:t>Пререквізити</w:t>
            </w:r>
            <w:proofErr w:type="spellEnd"/>
            <w:r w:rsidRPr="008C55CC">
              <w:rPr>
                <w:lang w:val="uk-UA"/>
              </w:rPr>
              <w:t xml:space="preserve"> до програми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rPr>
          <w:trHeight w:val="649"/>
        </w:trPr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Методи оцінювання результатів навчання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Критерії та процедури забезпечення якості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 xml:space="preserve">Варіанти інтеграції чи </w:t>
            </w:r>
            <w:proofErr w:type="spellStart"/>
            <w:r w:rsidRPr="008C55CC">
              <w:rPr>
                <w:lang w:val="uk-UA"/>
              </w:rPr>
              <w:t>стекування</w:t>
            </w:r>
            <w:proofErr w:type="spellEnd"/>
            <w:r w:rsidRPr="008C55CC">
              <w:rPr>
                <w:lang w:val="uk-UA"/>
              </w:rPr>
              <w:t xml:space="preserve"> (автономні, незалежні чи інтегровані </w:t>
            </w:r>
            <w:proofErr w:type="spellStart"/>
            <w:r w:rsidRPr="008C55CC">
              <w:rPr>
                <w:lang w:val="uk-UA"/>
              </w:rPr>
              <w:t>мікроквіліфікації</w:t>
            </w:r>
            <w:proofErr w:type="spellEnd"/>
            <w:r w:rsidRPr="008C55CC">
              <w:rPr>
                <w:lang w:val="uk-UA"/>
              </w:rPr>
              <w:t xml:space="preserve">, </w:t>
            </w:r>
            <w:r w:rsidRPr="008C55CC">
              <w:rPr>
                <w:lang w:val="uk-UA"/>
              </w:rPr>
              <w:t xml:space="preserve">які можна поєднувати з іншими </w:t>
            </w:r>
            <w:proofErr w:type="spellStart"/>
            <w:r w:rsidRPr="008C55CC">
              <w:rPr>
                <w:lang w:val="uk-UA"/>
              </w:rPr>
              <w:t>мікроквіліфікаціями</w:t>
            </w:r>
            <w:proofErr w:type="spellEnd"/>
            <w:r w:rsidRPr="008C55CC">
              <w:rPr>
                <w:lang w:val="uk-UA"/>
              </w:rPr>
              <w:t>)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rPr>
                <w:lang w:val="uk-UA"/>
              </w:rPr>
            </w:pPr>
            <w:r w:rsidRPr="008C55CC">
              <w:rPr>
                <w:lang w:val="uk-UA"/>
              </w:rPr>
              <w:t>Партнерське підприємство / організація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 xml:space="preserve">Інформація про грантову підтримку, </w:t>
            </w:r>
            <w:proofErr w:type="spellStart"/>
            <w:r w:rsidRPr="008C55CC">
              <w:rPr>
                <w:lang w:val="uk-UA"/>
              </w:rPr>
              <w:t>співфінансування</w:t>
            </w:r>
            <w:proofErr w:type="spellEnd"/>
            <w:r w:rsidRPr="008C55CC">
              <w:rPr>
                <w:lang w:val="uk-UA"/>
              </w:rPr>
              <w:t xml:space="preserve"> тощо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  <w:tr w:rsidR="006B07E8" w:rsidRPr="008C55CC">
        <w:tc>
          <w:tcPr>
            <w:tcW w:w="3738" w:type="dxa"/>
            <w:shd w:val="clear" w:color="auto" w:fill="auto"/>
          </w:tcPr>
          <w:p w:rsidR="006B07E8" w:rsidRPr="008C55CC" w:rsidRDefault="0027417C">
            <w:pPr>
              <w:pStyle w:val="TableContents"/>
              <w:widowControl w:val="0"/>
              <w:jc w:val="both"/>
              <w:rPr>
                <w:lang w:val="uk-UA"/>
              </w:rPr>
            </w:pPr>
            <w:r w:rsidRPr="008C55CC">
              <w:rPr>
                <w:lang w:val="uk-UA"/>
              </w:rPr>
              <w:t>Додаткова інформація про програму</w:t>
            </w:r>
          </w:p>
        </w:tc>
        <w:tc>
          <w:tcPr>
            <w:tcW w:w="5900" w:type="dxa"/>
            <w:shd w:val="clear" w:color="auto" w:fill="auto"/>
          </w:tcPr>
          <w:p w:rsidR="006B07E8" w:rsidRPr="008C55CC" w:rsidRDefault="006B07E8">
            <w:pPr>
              <w:pStyle w:val="TableContents"/>
              <w:widowControl w:val="0"/>
              <w:jc w:val="both"/>
              <w:rPr>
                <w:lang w:val="uk-UA"/>
              </w:rPr>
            </w:pPr>
          </w:p>
        </w:tc>
      </w:tr>
    </w:tbl>
    <w:p w:rsidR="006B07E8" w:rsidRPr="008C55CC" w:rsidRDefault="006B07E8">
      <w:pPr>
        <w:spacing w:line="288" w:lineRule="auto"/>
        <w:jc w:val="both"/>
        <w:rPr>
          <w:sz w:val="28"/>
          <w:szCs w:val="28"/>
          <w:lang w:val="uk-UA"/>
        </w:rPr>
      </w:pPr>
    </w:p>
    <w:sectPr w:rsidR="006B07E8" w:rsidRPr="008C55CC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B07E8"/>
    <w:rsid w:val="0027417C"/>
    <w:rsid w:val="006B07E8"/>
    <w:rsid w:val="008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E5370"/>
  <w15:docId w15:val="{A3014AD7-6B1C-4FFF-905A-04BFF9CC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pacing w:val="-6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1">
    <w:name w:val="Основной шрифт абзаца1"/>
    <w:qFormat/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41">
    <w:name w:val="Font Style41"/>
    <w:qFormat/>
    <w:rPr>
      <w:rFonts w:ascii="Times New Roman" w:hAnsi="Times New Roman" w:cs="Times New Roman"/>
      <w:b/>
      <w:bCs/>
      <w:color w:val="000000"/>
      <w:spacing w:val="-20"/>
      <w:sz w:val="20"/>
      <w:szCs w:val="20"/>
    </w:rPr>
  </w:style>
  <w:style w:type="character" w:customStyle="1" w:styleId="Quotation">
    <w:name w:val="Quotation"/>
    <w:qFormat/>
    <w:rPr>
      <w:i/>
      <w:iCs/>
    </w:rPr>
  </w:style>
  <w:style w:type="character" w:styleId="a3">
    <w:name w:val="Hyperlink"/>
    <w:rPr>
      <w:color w:val="000080"/>
      <w:u w:val="single"/>
    </w:rPr>
  </w:style>
  <w:style w:type="character" w:customStyle="1" w:styleId="WW8Num15z0">
    <w:name w:val="WW8Num15z0"/>
    <w:qFormat/>
    <w:rPr>
      <w:rFonts w:ascii="Symbol" w:hAnsi="Symbol" w:cs="Symbol"/>
      <w:spacing w:val="-6"/>
      <w:sz w:val="28"/>
      <w:szCs w:val="28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EndnoteAnchor">
    <w:name w:val="Endnote Anchor"/>
    <w:rPr>
      <w:vertAlign w:val="superscript"/>
    </w:rPr>
  </w:style>
  <w:style w:type="character" w:customStyle="1" w:styleId="a4">
    <w:name w:val="Текст примітки Знак"/>
    <w:basedOn w:val="a0"/>
    <w:link w:val="a5"/>
    <w:uiPriority w:val="99"/>
    <w:qFormat/>
    <w:rsid w:val="00822360"/>
    <w:rPr>
      <w:lang w:val="ru-RU" w:eastAsia="zh-CN"/>
    </w:rPr>
  </w:style>
  <w:style w:type="character" w:customStyle="1" w:styleId="FontStyle22">
    <w:name w:val="Font Style22"/>
    <w:qFormat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20"/>
    </w:pPr>
    <w:rPr>
      <w:lang w:val="uk-UA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10">
    <w:name w:val="Основний текст1"/>
    <w:basedOn w:val="a"/>
    <w:qFormat/>
    <w:pPr>
      <w:shd w:val="clear" w:color="auto" w:fill="FFFFFF"/>
      <w:spacing w:line="247" w:lineRule="exact"/>
      <w:jc w:val="both"/>
    </w:pPr>
    <w:rPr>
      <w:sz w:val="20"/>
      <w:szCs w:val="20"/>
      <w:lang w:val="uk-UA" w:eastAsia="uk-U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9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5">
    <w:name w:val="annotation text"/>
    <w:basedOn w:val="a"/>
    <w:link w:val="a4"/>
    <w:uiPriority w:val="99"/>
    <w:unhideWhenUsed/>
    <w:qFormat/>
    <w:rsid w:val="00822360"/>
    <w:rPr>
      <w:sz w:val="20"/>
      <w:szCs w:val="20"/>
    </w:rPr>
  </w:style>
  <w:style w:type="paragraph" w:customStyle="1" w:styleId="Style1">
    <w:name w:val="Style1"/>
    <w:basedOn w:val="a"/>
    <w:qFormat/>
    <w:pPr>
      <w:widowControl w:val="0"/>
      <w:autoSpaceDE w:val="0"/>
    </w:pPr>
  </w:style>
  <w:style w:type="paragraph" w:customStyle="1" w:styleId="Style5">
    <w:name w:val="Style5"/>
    <w:basedOn w:val="a"/>
    <w:qFormat/>
    <w:pPr>
      <w:widowControl w:val="0"/>
      <w:autoSpaceDE w:val="0"/>
      <w:spacing w:line="280" w:lineRule="exact"/>
      <w:jc w:val="both"/>
    </w:pPr>
  </w:style>
  <w:style w:type="paragraph" w:customStyle="1" w:styleId="aa">
    <w:name w:val="Нормальний текст"/>
    <w:basedOn w:val="a"/>
    <w:qFormat/>
    <w:pPr>
      <w:spacing w:before="120"/>
      <w:ind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4791</Words>
  <Characters>2732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TNTU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Админ</dc:creator>
  <dc:description/>
  <cp:lastModifiedBy>VJ</cp:lastModifiedBy>
  <cp:revision>6</cp:revision>
  <cp:lastPrinted>2025-08-18T08:59:00Z</cp:lastPrinted>
  <dcterms:created xsi:type="dcterms:W3CDTF">2025-08-18T09:01:00Z</dcterms:created>
  <dcterms:modified xsi:type="dcterms:W3CDTF">2025-09-08T06:39:00Z</dcterms:modified>
  <dc:language>uk-UA</dc:language>
</cp:coreProperties>
</file>