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171" w:rsidRPr="00C40171" w:rsidRDefault="00C40171" w:rsidP="00C40171">
      <w:pPr>
        <w:pBdr>
          <w:top w:val="nil"/>
          <w:left w:val="nil"/>
          <w:bottom w:val="nil"/>
          <w:right w:val="nil"/>
          <w:between w:val="nil"/>
        </w:pBdr>
        <w:spacing w:after="0" w:line="240" w:lineRule="auto"/>
        <w:jc w:val="right"/>
        <w:rPr>
          <w:rFonts w:ascii="Times New Roman" w:eastAsia="Times New Roman" w:hAnsi="Times New Roman" w:cs="Times New Roman"/>
          <w:bCs/>
          <w:color w:val="FF0000"/>
          <w:sz w:val="28"/>
          <w:szCs w:val="28"/>
          <w:lang w:val="uk-UA"/>
        </w:rPr>
      </w:pPr>
      <w:r w:rsidRPr="00C40171">
        <w:rPr>
          <w:rFonts w:ascii="Times New Roman" w:eastAsia="Times New Roman" w:hAnsi="Times New Roman" w:cs="Times New Roman"/>
          <w:bCs/>
          <w:color w:val="FF0000"/>
          <w:sz w:val="28"/>
          <w:szCs w:val="28"/>
          <w:lang w:val="uk-UA"/>
        </w:rPr>
        <w:t>ПРОЄКТ</w:t>
      </w:r>
    </w:p>
    <w:p w:rsidR="00076811" w:rsidRDefault="0004391C">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MIHICTEPCTBO ОСВІТИ I НАУКИ УКРАЇНИ</w:t>
      </w:r>
    </w:p>
    <w:p w:rsidR="00076811" w:rsidRDefault="0004391C">
      <w:pPr>
        <w:pBdr>
          <w:top w:val="nil"/>
          <w:left w:val="nil"/>
          <w:bottom w:val="nil"/>
          <w:right w:val="nil"/>
          <w:between w:val="nil"/>
        </w:pBdr>
        <w:spacing w:after="200" w:line="276" w:lineRule="auto"/>
        <w:ind w:left="412" w:right="57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Тернопільський національний технічний університет імені Івана Пулюя</w:t>
      </w:r>
    </w:p>
    <w:p w:rsidR="00076811" w:rsidRDefault="0007681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76811" w:rsidRDefault="0007681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76811" w:rsidRDefault="0007681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76811" w:rsidRDefault="0007681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76811" w:rsidRDefault="0007681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76811" w:rsidRDefault="00076811">
      <w:pPr>
        <w:widowControl w:val="0"/>
        <w:pBdr>
          <w:top w:val="nil"/>
          <w:left w:val="nil"/>
          <w:bottom w:val="nil"/>
          <w:right w:val="nil"/>
          <w:between w:val="nil"/>
        </w:pBdr>
        <w:spacing w:before="7" w:after="0" w:line="240" w:lineRule="auto"/>
        <w:rPr>
          <w:rFonts w:ascii="Times New Roman" w:eastAsia="Times New Roman" w:hAnsi="Times New Roman" w:cs="Times New Roman"/>
          <w:color w:val="000000"/>
          <w:sz w:val="25"/>
          <w:szCs w:val="25"/>
        </w:rPr>
      </w:pPr>
    </w:p>
    <w:p w:rsidR="00076811" w:rsidRDefault="00076811">
      <w:pPr>
        <w:widowControl w:val="0"/>
        <w:pBdr>
          <w:top w:val="nil"/>
          <w:left w:val="nil"/>
          <w:bottom w:val="nil"/>
          <w:right w:val="nil"/>
          <w:between w:val="nil"/>
        </w:pBdr>
        <w:spacing w:before="7" w:after="0" w:line="240" w:lineRule="auto"/>
        <w:rPr>
          <w:rFonts w:ascii="Times New Roman" w:eastAsia="Times New Roman" w:hAnsi="Times New Roman" w:cs="Times New Roman"/>
          <w:color w:val="000000"/>
          <w:sz w:val="25"/>
          <w:szCs w:val="25"/>
        </w:rPr>
      </w:pPr>
    </w:p>
    <w:p w:rsidR="00076811" w:rsidRDefault="0004391C">
      <w:pPr>
        <w:widowControl w:val="0"/>
        <w:pBdr>
          <w:top w:val="nil"/>
          <w:left w:val="nil"/>
          <w:bottom w:val="nil"/>
          <w:right w:val="nil"/>
          <w:between w:val="nil"/>
        </w:pBdr>
        <w:spacing w:before="89" w:after="0" w:line="360" w:lineRule="auto"/>
        <w:ind w:right="578"/>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OCBITHЬO-НАУКОВА  ПРОГРАМА</w:t>
      </w:r>
    </w:p>
    <w:p w:rsidR="00076811" w:rsidRDefault="00076811">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9"/>
          <w:szCs w:val="29"/>
        </w:rPr>
      </w:pPr>
    </w:p>
    <w:p w:rsidR="00076811" w:rsidRDefault="0004391C">
      <w:pPr>
        <w:pBdr>
          <w:top w:val="nil"/>
          <w:left w:val="nil"/>
          <w:bottom w:val="nil"/>
          <w:right w:val="nil"/>
          <w:between w:val="nil"/>
        </w:pBdr>
        <w:spacing w:after="20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«Інженерія програмного забезпечення»</w:t>
      </w:r>
    </w:p>
    <w:p w:rsidR="00076811" w:rsidRDefault="0004391C">
      <w:pPr>
        <w:widowControl w:val="0"/>
        <w:pBdr>
          <w:top w:val="nil"/>
          <w:left w:val="nil"/>
          <w:bottom w:val="nil"/>
          <w:right w:val="nil"/>
          <w:between w:val="nil"/>
        </w:pBdr>
        <w:spacing w:after="0" w:line="360" w:lineRule="auto"/>
        <w:ind w:left="2404" w:hanging="2404"/>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Третього рівня вищої освіти</w:t>
      </w:r>
    </w:p>
    <w:p w:rsidR="00076811" w:rsidRDefault="0004391C">
      <w:pPr>
        <w:widowControl w:val="0"/>
        <w:pBdr>
          <w:top w:val="nil"/>
          <w:left w:val="nil"/>
          <w:bottom w:val="nil"/>
          <w:right w:val="nil"/>
          <w:between w:val="nil"/>
        </w:pBdr>
        <w:spacing w:after="0" w:line="360" w:lineRule="auto"/>
        <w:ind w:hanging="1440"/>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rPr>
        <w:t xml:space="preserve">за спеціальністю </w:t>
      </w:r>
      <w:r>
        <w:rPr>
          <w:rFonts w:ascii="Times New Roman" w:eastAsia="Times New Roman" w:hAnsi="Times New Roman" w:cs="Times New Roman"/>
          <w:b/>
          <w:bCs/>
          <w:color w:val="000000"/>
          <w:sz w:val="28"/>
          <w:szCs w:val="28"/>
          <w:u w:val="single"/>
        </w:rPr>
        <w:t>F2 "Інженерія програмного забезпечення"</w:t>
      </w:r>
    </w:p>
    <w:p w:rsidR="00076811" w:rsidRDefault="0004391C">
      <w:pPr>
        <w:pBdr>
          <w:top w:val="nil"/>
          <w:left w:val="nil"/>
          <w:bottom w:val="nil"/>
          <w:right w:val="nil"/>
          <w:between w:val="nil"/>
        </w:pBdr>
        <w:spacing w:after="0" w:line="36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галузі знань </w:t>
      </w:r>
      <w:r>
        <w:rPr>
          <w:rFonts w:ascii="Times New Roman" w:eastAsia="Times New Roman" w:hAnsi="Times New Roman" w:cs="Times New Roman"/>
          <w:b/>
          <w:bCs/>
          <w:color w:val="000000"/>
          <w:sz w:val="28"/>
          <w:szCs w:val="28"/>
          <w:u w:val="single"/>
        </w:rPr>
        <w:t>F ''Інформаційні технології''</w:t>
      </w:r>
      <w:r>
        <w:rPr>
          <w:rFonts w:ascii="Times New Roman" w:eastAsia="Times New Roman" w:hAnsi="Times New Roman" w:cs="Times New Roman"/>
          <w:b/>
          <w:bCs/>
          <w:color w:val="000000"/>
          <w:sz w:val="28"/>
          <w:szCs w:val="28"/>
        </w:rPr>
        <w:t xml:space="preserve"> </w:t>
      </w:r>
    </w:p>
    <w:p w:rsidR="00076811" w:rsidRDefault="0004391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rPr>
        <w:t xml:space="preserve">      кваліфікація: </w:t>
      </w:r>
      <w:r>
        <w:rPr>
          <w:rFonts w:ascii="Times New Roman" w:eastAsia="Times New Roman" w:hAnsi="Times New Roman" w:cs="Times New Roman"/>
          <w:b/>
          <w:bCs/>
          <w:color w:val="000000"/>
          <w:sz w:val="28"/>
          <w:szCs w:val="28"/>
          <w:u w:val="single"/>
        </w:rPr>
        <w:t>доктор філософії з інженерії програмного забезпечення</w:t>
      </w:r>
    </w:p>
    <w:p w:rsidR="00965B2E" w:rsidRPr="00965B2E" w:rsidRDefault="00965B2E" w:rsidP="00965B2E">
      <w:pPr>
        <w:pStyle w:val="ac"/>
        <w:spacing w:before="0" w:beforeAutospacing="0" w:after="0" w:afterAutospacing="0"/>
        <w:jc w:val="center"/>
        <w:rPr>
          <w:i/>
          <w:color w:val="000000"/>
          <w:szCs w:val="27"/>
        </w:rPr>
      </w:pPr>
      <w:r w:rsidRPr="00965B2E">
        <w:rPr>
          <w:i/>
          <w:color w:val="000000"/>
          <w:szCs w:val="27"/>
        </w:rPr>
        <w:t>Контактна особа: д.ф.-</w:t>
      </w:r>
      <w:proofErr w:type="spellStart"/>
      <w:r w:rsidRPr="00965B2E">
        <w:rPr>
          <w:i/>
          <w:color w:val="000000"/>
          <w:szCs w:val="27"/>
        </w:rPr>
        <w:t>м.н</w:t>
      </w:r>
      <w:proofErr w:type="spellEnd"/>
      <w:r w:rsidRPr="00965B2E">
        <w:rPr>
          <w:i/>
          <w:color w:val="000000"/>
          <w:szCs w:val="27"/>
        </w:rPr>
        <w:t>., професор, завідувач кафедри програмної інженерії</w:t>
      </w:r>
    </w:p>
    <w:p w:rsidR="00965B2E" w:rsidRPr="00965B2E" w:rsidRDefault="00965B2E" w:rsidP="00965B2E">
      <w:pPr>
        <w:pStyle w:val="ac"/>
        <w:spacing w:before="0" w:beforeAutospacing="0" w:after="0" w:afterAutospacing="0"/>
        <w:jc w:val="center"/>
        <w:rPr>
          <w:i/>
          <w:color w:val="000000"/>
          <w:szCs w:val="27"/>
        </w:rPr>
      </w:pPr>
      <w:r w:rsidRPr="00965B2E">
        <w:rPr>
          <w:i/>
          <w:color w:val="000000"/>
          <w:szCs w:val="27"/>
        </w:rPr>
        <w:t>Петрик Михайло Романович</w:t>
      </w:r>
    </w:p>
    <w:p w:rsidR="00965B2E" w:rsidRPr="00965B2E" w:rsidRDefault="00965B2E" w:rsidP="00965B2E">
      <w:pPr>
        <w:pStyle w:val="ac"/>
        <w:spacing w:before="0" w:beforeAutospacing="0" w:after="0" w:afterAutospacing="0"/>
        <w:jc w:val="center"/>
        <w:rPr>
          <w:i/>
          <w:color w:val="000000"/>
          <w:szCs w:val="27"/>
        </w:rPr>
      </w:pPr>
      <w:r w:rsidRPr="00965B2E">
        <w:rPr>
          <w:i/>
          <w:color w:val="000000"/>
          <w:szCs w:val="27"/>
        </w:rPr>
        <w:t>mykhaylo_petryk@tntu.edu.ua</w:t>
      </w:r>
    </w:p>
    <w:p w:rsidR="00076811" w:rsidRDefault="00076811">
      <w:pPr>
        <w:widowControl w:val="0"/>
        <w:pBdr>
          <w:top w:val="nil"/>
          <w:left w:val="nil"/>
          <w:bottom w:val="nil"/>
          <w:right w:val="nil"/>
          <w:between w:val="nil"/>
        </w:pBdr>
        <w:spacing w:before="8" w:after="0" w:line="240" w:lineRule="auto"/>
        <w:jc w:val="center"/>
        <w:rPr>
          <w:rFonts w:ascii="Times New Roman" w:eastAsia="Times New Roman" w:hAnsi="Times New Roman" w:cs="Times New Roman"/>
          <w:color w:val="000000"/>
          <w:sz w:val="26"/>
          <w:szCs w:val="26"/>
        </w:rPr>
      </w:pPr>
    </w:p>
    <w:p w:rsidR="00076811" w:rsidRDefault="00076811">
      <w:pPr>
        <w:widowControl w:val="0"/>
        <w:pBdr>
          <w:top w:val="nil"/>
          <w:left w:val="nil"/>
          <w:bottom w:val="nil"/>
          <w:right w:val="nil"/>
          <w:between w:val="nil"/>
        </w:pBdr>
        <w:spacing w:before="8" w:after="0" w:line="240" w:lineRule="auto"/>
        <w:jc w:val="center"/>
        <w:rPr>
          <w:rFonts w:ascii="Times New Roman" w:eastAsia="Times New Roman" w:hAnsi="Times New Roman" w:cs="Times New Roman"/>
          <w:color w:val="000000"/>
          <w:sz w:val="26"/>
          <w:szCs w:val="26"/>
        </w:rPr>
      </w:pPr>
    </w:p>
    <w:p w:rsidR="00076811" w:rsidRDefault="00076811">
      <w:pPr>
        <w:widowControl w:val="0"/>
        <w:pBdr>
          <w:top w:val="nil"/>
          <w:left w:val="nil"/>
          <w:bottom w:val="nil"/>
          <w:right w:val="nil"/>
          <w:between w:val="nil"/>
        </w:pBdr>
        <w:spacing w:before="8" w:after="0" w:line="240" w:lineRule="auto"/>
        <w:jc w:val="center"/>
        <w:rPr>
          <w:rFonts w:ascii="Times New Roman" w:eastAsia="Times New Roman" w:hAnsi="Times New Roman" w:cs="Times New Roman"/>
          <w:color w:val="000000"/>
          <w:sz w:val="26"/>
          <w:szCs w:val="26"/>
        </w:rPr>
      </w:pPr>
    </w:p>
    <w:p w:rsidR="00076811" w:rsidRDefault="00076811">
      <w:pPr>
        <w:widowControl w:val="0"/>
        <w:pBdr>
          <w:top w:val="nil"/>
          <w:left w:val="nil"/>
          <w:bottom w:val="nil"/>
          <w:right w:val="nil"/>
          <w:between w:val="nil"/>
        </w:pBdr>
        <w:spacing w:before="8" w:after="0" w:line="240" w:lineRule="auto"/>
        <w:jc w:val="center"/>
        <w:rPr>
          <w:rFonts w:ascii="Times New Roman" w:eastAsia="Times New Roman" w:hAnsi="Times New Roman" w:cs="Times New Roman"/>
          <w:color w:val="000000"/>
          <w:sz w:val="26"/>
          <w:szCs w:val="26"/>
        </w:rPr>
      </w:pPr>
      <w:bookmarkStart w:id="0" w:name="_GoBack"/>
      <w:bookmarkEnd w:id="0"/>
    </w:p>
    <w:p w:rsidR="00076811" w:rsidRDefault="0004391C">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bookmarkStart w:id="1" w:name="_alc9v01mokem" w:colFirst="0" w:colLast="0"/>
      <w:bookmarkEnd w:id="1"/>
      <w:r>
        <w:rPr>
          <w:rFonts w:ascii="Times New Roman" w:eastAsia="Times New Roman" w:hAnsi="Times New Roman" w:cs="Times New Roman"/>
          <w:b/>
          <w:bCs/>
          <w:color w:val="000000"/>
          <w:sz w:val="28"/>
          <w:szCs w:val="28"/>
        </w:rPr>
        <w:t>ЗАТВЕРДЖЕНО ВЧЕНОЮ РАДОЮ</w:t>
      </w:r>
      <w:r>
        <w:rPr>
          <w:rFonts w:ascii="Times New Roman" w:eastAsia="Times New Roman" w:hAnsi="Times New Roman" w:cs="Times New Roman"/>
          <w:b/>
          <w:bCs/>
          <w:color w:val="000000"/>
          <w:sz w:val="28"/>
          <w:szCs w:val="28"/>
        </w:rPr>
        <w:br/>
        <w:t>Голова вченої ради</w:t>
      </w:r>
      <w:r>
        <w:rPr>
          <w:rFonts w:ascii="Times New Roman" w:eastAsia="Times New Roman" w:hAnsi="Times New Roman" w:cs="Times New Roman"/>
          <w:b/>
          <w:bCs/>
          <w:color w:val="000000"/>
          <w:sz w:val="28"/>
          <w:szCs w:val="28"/>
        </w:rPr>
        <w:br/>
        <w:t xml:space="preserve">___________________  / </w:t>
      </w:r>
      <w:r>
        <w:rPr>
          <w:rFonts w:ascii="Times New Roman" w:eastAsia="Times New Roman" w:hAnsi="Times New Roman" w:cs="Times New Roman"/>
          <w:color w:val="000000"/>
          <w:sz w:val="28"/>
          <w:szCs w:val="28"/>
          <w:u w:val="single"/>
        </w:rPr>
        <w:t>Микола МИТНИК</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br/>
        <w:t>(протокол №   від «___» ________ 202__р.)</w:t>
      </w:r>
    </w:p>
    <w:p w:rsidR="00076811" w:rsidRDefault="0004391C">
      <w:pPr>
        <w:pBdr>
          <w:top w:val="nil"/>
          <w:left w:val="nil"/>
          <w:bottom w:val="nil"/>
          <w:right w:val="nil"/>
          <w:between w:val="nil"/>
        </w:pBdr>
        <w:spacing w:line="360" w:lineRule="auto"/>
        <w:ind w:firstLine="5160"/>
        <w:jc w:val="righ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br/>
        <w:t>Освітня програма вводиться в дію з 1 ______________ 20____р.</w:t>
      </w:r>
      <w:r>
        <w:rPr>
          <w:rFonts w:ascii="Times New Roman" w:eastAsia="Times New Roman" w:hAnsi="Times New Roman" w:cs="Times New Roman"/>
          <w:b/>
          <w:bCs/>
          <w:color w:val="000000"/>
          <w:sz w:val="28"/>
          <w:szCs w:val="28"/>
        </w:rPr>
        <w:br/>
        <w:t xml:space="preserve">Ректор__________________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 / </w:t>
      </w:r>
      <w:r>
        <w:rPr>
          <w:rFonts w:ascii="Times New Roman" w:eastAsia="Times New Roman" w:hAnsi="Times New Roman" w:cs="Times New Roman"/>
          <w:color w:val="000000"/>
          <w:sz w:val="28"/>
          <w:szCs w:val="28"/>
          <w:u w:val="single"/>
        </w:rPr>
        <w:t>Микола МИТНИК</w:t>
      </w:r>
      <w:r>
        <w:rPr>
          <w:rFonts w:ascii="Times New Roman" w:eastAsia="Times New Roman" w:hAnsi="Times New Roman" w:cs="Times New Roman"/>
          <w:b/>
          <w:bCs/>
          <w:color w:val="000000"/>
          <w:sz w:val="28"/>
          <w:szCs w:val="28"/>
        </w:rPr>
        <w:br/>
        <w:t>(наказ № _____від  «___» ________202__р.)</w:t>
      </w:r>
    </w:p>
    <w:p w:rsidR="00076811" w:rsidRDefault="00076811">
      <w:pPr>
        <w:pBdr>
          <w:top w:val="nil"/>
          <w:left w:val="nil"/>
          <w:bottom w:val="nil"/>
          <w:right w:val="nil"/>
          <w:between w:val="nil"/>
        </w:pBdr>
        <w:spacing w:line="257" w:lineRule="auto"/>
        <w:jc w:val="center"/>
        <w:rPr>
          <w:rFonts w:ascii="Times New Roman" w:eastAsia="Times New Roman" w:hAnsi="Times New Roman" w:cs="Times New Roman"/>
          <w:color w:val="000000"/>
          <w:sz w:val="28"/>
          <w:szCs w:val="28"/>
        </w:rPr>
      </w:pPr>
    </w:p>
    <w:p w:rsidR="00076811" w:rsidRDefault="00076811">
      <w:pPr>
        <w:pBdr>
          <w:top w:val="nil"/>
          <w:left w:val="nil"/>
          <w:bottom w:val="nil"/>
          <w:right w:val="nil"/>
          <w:between w:val="nil"/>
        </w:pBdr>
        <w:spacing w:line="257" w:lineRule="auto"/>
        <w:jc w:val="center"/>
        <w:rPr>
          <w:rFonts w:ascii="Times New Roman" w:eastAsia="Times New Roman" w:hAnsi="Times New Roman" w:cs="Times New Roman"/>
          <w:color w:val="000000"/>
          <w:sz w:val="28"/>
          <w:szCs w:val="28"/>
        </w:rPr>
      </w:pPr>
    </w:p>
    <w:p w:rsidR="00076811" w:rsidRDefault="00076811">
      <w:pPr>
        <w:pBdr>
          <w:top w:val="nil"/>
          <w:left w:val="nil"/>
          <w:bottom w:val="nil"/>
          <w:right w:val="nil"/>
          <w:between w:val="nil"/>
        </w:pBdr>
        <w:spacing w:line="257" w:lineRule="auto"/>
        <w:jc w:val="center"/>
        <w:rPr>
          <w:rFonts w:ascii="Times New Roman" w:eastAsia="Times New Roman" w:hAnsi="Times New Roman" w:cs="Times New Roman"/>
          <w:color w:val="000000"/>
          <w:sz w:val="28"/>
          <w:szCs w:val="28"/>
        </w:rPr>
      </w:pPr>
    </w:p>
    <w:p w:rsidR="00965B2E" w:rsidRDefault="0004391C">
      <w:pPr>
        <w:pBdr>
          <w:top w:val="nil"/>
          <w:left w:val="nil"/>
          <w:bottom w:val="nil"/>
          <w:right w:val="nil"/>
          <w:between w:val="nil"/>
        </w:pBdr>
        <w:spacing w:line="257" w:lineRule="auto"/>
        <w:jc w:val="center"/>
        <w:rPr>
          <w:rFonts w:ascii="Times New Roman" w:eastAsia="Times New Roman" w:hAnsi="Times New Roman" w:cs="Times New Roman"/>
          <w:b/>
          <w:bCs/>
          <w:color w:val="000000"/>
          <w:sz w:val="28"/>
          <w:szCs w:val="28"/>
        </w:rPr>
      </w:pPr>
      <w:bookmarkStart w:id="2" w:name="_xbcg4h9dmyft" w:colFirst="0" w:colLast="0"/>
      <w:bookmarkEnd w:id="2"/>
      <w:r>
        <w:rPr>
          <w:rFonts w:ascii="Times New Roman" w:eastAsia="Times New Roman" w:hAnsi="Times New Roman" w:cs="Times New Roman"/>
          <w:b/>
          <w:bCs/>
          <w:color w:val="000000"/>
          <w:sz w:val="28"/>
          <w:szCs w:val="28"/>
        </w:rPr>
        <w:t>Тернопіль, 2025 р</w:t>
      </w:r>
    </w:p>
    <w:p w:rsidR="00076811" w:rsidRDefault="0004391C">
      <w:pPr>
        <w:pBdr>
          <w:top w:val="nil"/>
          <w:left w:val="nil"/>
          <w:bottom w:val="nil"/>
          <w:right w:val="nil"/>
          <w:between w:val="nil"/>
        </w:pBdr>
        <w:spacing w:line="257" w:lineRule="auto"/>
        <w:jc w:val="center"/>
        <w:rPr>
          <w:rFonts w:ascii="Times New Roman" w:eastAsia="Times New Roman" w:hAnsi="Times New Roman" w:cs="Times New Roman"/>
          <w:color w:val="000000"/>
          <w:sz w:val="28"/>
          <w:szCs w:val="28"/>
        </w:rPr>
      </w:pPr>
      <w:r>
        <w:br w:type="page"/>
      </w:r>
    </w:p>
    <w:p w:rsidR="00076811" w:rsidRDefault="0004391C">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ЛИСТ ПОГОДЖЕННЯ</w:t>
      </w:r>
    </w:p>
    <w:p w:rsidR="00076811" w:rsidRDefault="0004391C">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освітньо-наукової програми</w:t>
      </w:r>
    </w:p>
    <w:p w:rsidR="00076811" w:rsidRDefault="0007681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tbl>
      <w:tblPr>
        <w:tblStyle w:val="a5"/>
        <w:tblW w:w="9464" w:type="dxa"/>
        <w:tblInd w:w="33" w:type="dxa"/>
        <w:tblLayout w:type="fixed"/>
        <w:tblLook w:val="0000" w:firstRow="0" w:lastRow="0" w:firstColumn="0" w:lastColumn="0" w:noHBand="0" w:noVBand="0"/>
      </w:tblPr>
      <w:tblGrid>
        <w:gridCol w:w="4503"/>
        <w:gridCol w:w="4961"/>
      </w:tblGrid>
      <w:tr w:rsidR="00076811">
        <w:trPr>
          <w:trHeight w:val="1452"/>
        </w:trPr>
        <w:tc>
          <w:tcPr>
            <w:tcW w:w="4503" w:type="dxa"/>
          </w:tcPr>
          <w:p w:rsidR="00076811" w:rsidRDefault="0004391C">
            <w:pPr>
              <w:pBdr>
                <w:top w:val="nil"/>
                <w:left w:val="nil"/>
                <w:bottom w:val="nil"/>
                <w:right w:val="nil"/>
                <w:between w:val="nil"/>
              </w:pBdr>
              <w:spacing w:after="2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r>
          </w:p>
          <w:p w:rsidR="00076811" w:rsidRDefault="0004391C">
            <w:pPr>
              <w:pBdr>
                <w:top w:val="nil"/>
                <w:left w:val="nil"/>
                <w:bottom w:val="nil"/>
                <w:right w:val="nil"/>
                <w:between w:val="nil"/>
              </w:pBdr>
              <w:spacing w:after="200" w:line="276" w:lineRule="auto"/>
              <w:ind w:right="3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Завідувач випускової кафедри</w:t>
            </w:r>
          </w:p>
          <w:p w:rsidR="00076811" w:rsidRDefault="00076811">
            <w:pPr>
              <w:pBdr>
                <w:top w:val="nil"/>
                <w:left w:val="nil"/>
                <w:bottom w:val="nil"/>
                <w:right w:val="nil"/>
                <w:between w:val="nil"/>
              </w:pBdr>
              <w:spacing w:after="200" w:line="276" w:lineRule="auto"/>
              <w:jc w:val="both"/>
              <w:rPr>
                <w:rFonts w:ascii="Times New Roman" w:eastAsia="Times New Roman" w:hAnsi="Times New Roman" w:cs="Times New Roman"/>
                <w:color w:val="000000"/>
                <w:sz w:val="28"/>
                <w:szCs w:val="28"/>
              </w:rPr>
            </w:pPr>
          </w:p>
          <w:p w:rsidR="00076811" w:rsidRDefault="00076811">
            <w:pPr>
              <w:pBdr>
                <w:top w:val="nil"/>
                <w:left w:val="nil"/>
                <w:bottom w:val="nil"/>
                <w:right w:val="nil"/>
                <w:between w:val="nil"/>
              </w:pBdr>
              <w:spacing w:after="200" w:line="276" w:lineRule="auto"/>
              <w:jc w:val="both"/>
              <w:rPr>
                <w:rFonts w:ascii="Times New Roman" w:eastAsia="Times New Roman" w:hAnsi="Times New Roman" w:cs="Times New Roman"/>
                <w:color w:val="000000"/>
                <w:sz w:val="28"/>
                <w:szCs w:val="28"/>
              </w:rPr>
            </w:pPr>
          </w:p>
        </w:tc>
        <w:tc>
          <w:tcPr>
            <w:tcW w:w="4961" w:type="dxa"/>
          </w:tcPr>
          <w:p w:rsidR="00076811" w:rsidRDefault="00076811">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076811" w:rsidRDefault="0004391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Доктор фізико-математичних наук, професор, Михайло ПЕТРИК</w:t>
            </w:r>
          </w:p>
        </w:tc>
      </w:tr>
      <w:tr w:rsidR="00076811">
        <w:trPr>
          <w:trHeight w:val="2835"/>
        </w:trPr>
        <w:tc>
          <w:tcPr>
            <w:tcW w:w="4503" w:type="dxa"/>
          </w:tcPr>
          <w:p w:rsidR="00076811" w:rsidRDefault="00076811">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076811" w:rsidRDefault="0004391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Проректор з наукової роботи</w:t>
            </w:r>
          </w:p>
          <w:p w:rsidR="00076811" w:rsidRDefault="00076811">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tc>
        <w:tc>
          <w:tcPr>
            <w:tcW w:w="4961" w:type="dxa"/>
          </w:tcPr>
          <w:p w:rsidR="00076811" w:rsidRDefault="00076811">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076811" w:rsidRDefault="0004391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Доктор технічних наук, професор, Павло МАРУЩАК</w:t>
            </w:r>
          </w:p>
        </w:tc>
      </w:tr>
      <w:tr w:rsidR="00076811">
        <w:trPr>
          <w:trHeight w:val="1841"/>
        </w:trPr>
        <w:tc>
          <w:tcPr>
            <w:tcW w:w="4503" w:type="dxa"/>
          </w:tcPr>
          <w:p w:rsidR="00076811" w:rsidRDefault="0004391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Голова  експертної ради роботодавців кафедри програмної інженерії, директор ТОВ "</w:t>
            </w:r>
            <w:proofErr w:type="spellStart"/>
            <w:r>
              <w:rPr>
                <w:rFonts w:ascii="Times New Roman" w:eastAsia="Times New Roman" w:hAnsi="Times New Roman" w:cs="Times New Roman"/>
                <w:sz w:val="28"/>
                <w:szCs w:val="28"/>
              </w:rPr>
              <w:t>Яваре</w:t>
            </w:r>
            <w:proofErr w:type="spellEnd"/>
            <w:r>
              <w:rPr>
                <w:rFonts w:ascii="Times New Roman" w:eastAsia="Times New Roman" w:hAnsi="Times New Roman" w:cs="Times New Roman"/>
                <w:sz w:val="28"/>
                <w:szCs w:val="28"/>
              </w:rPr>
              <w:t>"</w:t>
            </w:r>
          </w:p>
        </w:tc>
        <w:tc>
          <w:tcPr>
            <w:tcW w:w="4961" w:type="dxa"/>
          </w:tcPr>
          <w:p w:rsidR="00076811" w:rsidRDefault="0004391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Олег ЧЕРЕВАТИЙ</w:t>
            </w:r>
          </w:p>
        </w:tc>
      </w:tr>
    </w:tbl>
    <w:p w:rsidR="00076811" w:rsidRDefault="00076811">
      <w:pPr>
        <w:pBdr>
          <w:top w:val="nil"/>
          <w:left w:val="nil"/>
          <w:bottom w:val="nil"/>
          <w:right w:val="nil"/>
          <w:between w:val="nil"/>
        </w:pBdr>
        <w:spacing w:line="257" w:lineRule="auto"/>
        <w:jc w:val="center"/>
        <w:rPr>
          <w:rFonts w:ascii="Times New Roman" w:eastAsia="Times New Roman" w:hAnsi="Times New Roman" w:cs="Times New Roman"/>
          <w:color w:val="000000"/>
          <w:sz w:val="28"/>
          <w:szCs w:val="28"/>
        </w:rPr>
      </w:pPr>
    </w:p>
    <w:p w:rsidR="00076811" w:rsidRDefault="0004391C">
      <w:pPr>
        <w:pBdr>
          <w:top w:val="nil"/>
          <w:left w:val="nil"/>
          <w:bottom w:val="nil"/>
          <w:right w:val="nil"/>
          <w:between w:val="nil"/>
        </w:pBdr>
        <w:spacing w:line="257" w:lineRule="auto"/>
        <w:rPr>
          <w:rFonts w:ascii="Times New Roman" w:eastAsia="Times New Roman" w:hAnsi="Times New Roman" w:cs="Times New Roman"/>
          <w:color w:val="000000"/>
          <w:sz w:val="28"/>
          <w:szCs w:val="28"/>
        </w:rPr>
      </w:pPr>
      <w:r>
        <w:br w:type="page"/>
      </w:r>
    </w:p>
    <w:p w:rsidR="00076811" w:rsidRDefault="0004391C">
      <w:pPr>
        <w:pBdr>
          <w:top w:val="nil"/>
          <w:left w:val="nil"/>
          <w:bottom w:val="nil"/>
          <w:right w:val="nil"/>
          <w:between w:val="nil"/>
        </w:pBdr>
        <w:spacing w:line="257"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ПЕРЕДМОВА</w:t>
      </w:r>
    </w:p>
    <w:p w:rsidR="00076811" w:rsidRDefault="00076811">
      <w:pPr>
        <w:pBdr>
          <w:top w:val="nil"/>
          <w:left w:val="nil"/>
          <w:bottom w:val="nil"/>
          <w:right w:val="nil"/>
          <w:between w:val="nil"/>
        </w:pBdr>
        <w:spacing w:line="257" w:lineRule="auto"/>
        <w:jc w:val="both"/>
        <w:rPr>
          <w:rFonts w:ascii="Times New Roman" w:eastAsia="Times New Roman" w:hAnsi="Times New Roman" w:cs="Times New Roman"/>
          <w:color w:val="000000"/>
          <w:sz w:val="28"/>
          <w:szCs w:val="28"/>
        </w:rPr>
      </w:pPr>
    </w:p>
    <w:p w:rsidR="00076811" w:rsidRDefault="0004391C">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Розроблено робочою групою у складі:</w:t>
      </w:r>
    </w:p>
    <w:p w:rsidR="00076811" w:rsidRDefault="0004391C">
      <w:pPr>
        <w:widowControl w:val="0"/>
        <w:numPr>
          <w:ilvl w:val="0"/>
          <w:numId w:val="1"/>
        </w:numPr>
        <w:pBdr>
          <w:top w:val="nil"/>
          <w:left w:val="nil"/>
          <w:bottom w:val="nil"/>
          <w:right w:val="nil"/>
          <w:between w:val="nil"/>
        </w:pBdr>
        <w:tabs>
          <w:tab w:val="left" w:pos="284"/>
          <w:tab w:val="left" w:pos="993"/>
        </w:tabs>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Петрик Михайло Романович</w:t>
      </w:r>
      <w:r>
        <w:rPr>
          <w:rFonts w:ascii="Times New Roman" w:eastAsia="Times New Roman" w:hAnsi="Times New Roman" w:cs="Times New Roman"/>
          <w:color w:val="000000"/>
          <w:sz w:val="28"/>
          <w:szCs w:val="28"/>
        </w:rPr>
        <w:t xml:space="preserve"> – гарант програми, керівник робочої групи, д.ф.-</w:t>
      </w:r>
      <w:proofErr w:type="spellStart"/>
      <w:r>
        <w:rPr>
          <w:rFonts w:ascii="Times New Roman" w:eastAsia="Times New Roman" w:hAnsi="Times New Roman" w:cs="Times New Roman"/>
          <w:color w:val="000000"/>
          <w:sz w:val="28"/>
          <w:szCs w:val="28"/>
        </w:rPr>
        <w:t>м.н</w:t>
      </w:r>
      <w:proofErr w:type="spellEnd"/>
      <w:r>
        <w:rPr>
          <w:rFonts w:ascii="Times New Roman" w:eastAsia="Times New Roman" w:hAnsi="Times New Roman" w:cs="Times New Roman"/>
          <w:color w:val="000000"/>
          <w:sz w:val="28"/>
          <w:szCs w:val="28"/>
        </w:rPr>
        <w:t>., професор, завідувач кафедри програмної інженерії;</w:t>
      </w:r>
    </w:p>
    <w:p w:rsidR="00076811" w:rsidRDefault="0004391C">
      <w:pPr>
        <w:widowControl w:val="0"/>
        <w:numPr>
          <w:ilvl w:val="0"/>
          <w:numId w:val="1"/>
        </w:numPr>
        <w:pBdr>
          <w:top w:val="nil"/>
          <w:left w:val="nil"/>
          <w:bottom w:val="nil"/>
          <w:right w:val="nil"/>
          <w:between w:val="nil"/>
        </w:pBdr>
        <w:tabs>
          <w:tab w:val="left" w:pos="284"/>
          <w:tab w:val="left" w:pos="993"/>
        </w:tabs>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Пастух Олег Анатолійович</w:t>
      </w:r>
      <w:r>
        <w:rPr>
          <w:rFonts w:ascii="Times New Roman" w:eastAsia="Times New Roman" w:hAnsi="Times New Roman" w:cs="Times New Roman"/>
          <w:color w:val="000000"/>
          <w:sz w:val="28"/>
          <w:szCs w:val="28"/>
        </w:rPr>
        <w:t xml:space="preserve"> – член робочої групи, </w:t>
      </w:r>
      <w:proofErr w:type="spellStart"/>
      <w:r>
        <w:rPr>
          <w:rFonts w:ascii="Times New Roman" w:eastAsia="Times New Roman" w:hAnsi="Times New Roman" w:cs="Times New Roman"/>
          <w:color w:val="000000"/>
          <w:sz w:val="28"/>
          <w:szCs w:val="28"/>
        </w:rPr>
        <w:t>д.т.н</w:t>
      </w:r>
      <w:proofErr w:type="spellEnd"/>
      <w:r>
        <w:rPr>
          <w:rFonts w:ascii="Times New Roman" w:eastAsia="Times New Roman" w:hAnsi="Times New Roman" w:cs="Times New Roman"/>
          <w:color w:val="000000"/>
          <w:sz w:val="28"/>
          <w:szCs w:val="28"/>
        </w:rPr>
        <w:t>., професор, професор кафедри програмної інженерії;</w:t>
      </w:r>
    </w:p>
    <w:p w:rsidR="00076811" w:rsidRDefault="0004391C">
      <w:pPr>
        <w:widowControl w:val="0"/>
        <w:numPr>
          <w:ilvl w:val="0"/>
          <w:numId w:val="1"/>
        </w:numPr>
        <w:pBdr>
          <w:top w:val="nil"/>
          <w:left w:val="nil"/>
          <w:bottom w:val="nil"/>
          <w:right w:val="nil"/>
          <w:between w:val="nil"/>
        </w:pBdr>
        <w:tabs>
          <w:tab w:val="left" w:pos="284"/>
          <w:tab w:val="left" w:pos="993"/>
        </w:tabs>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Бойко Ігор Володимирович –</w:t>
      </w:r>
      <w:r>
        <w:rPr>
          <w:rFonts w:ascii="Times New Roman" w:eastAsia="Times New Roman" w:hAnsi="Times New Roman" w:cs="Times New Roman"/>
          <w:color w:val="000000"/>
          <w:sz w:val="28"/>
          <w:szCs w:val="28"/>
        </w:rPr>
        <w:t xml:space="preserve"> член робочої групи, д.ф.-</w:t>
      </w:r>
      <w:proofErr w:type="spellStart"/>
      <w:r>
        <w:rPr>
          <w:rFonts w:ascii="Times New Roman" w:eastAsia="Times New Roman" w:hAnsi="Times New Roman" w:cs="Times New Roman"/>
          <w:color w:val="000000"/>
          <w:sz w:val="28"/>
          <w:szCs w:val="28"/>
        </w:rPr>
        <w:t>м.н</w:t>
      </w:r>
      <w:proofErr w:type="spellEnd"/>
      <w:r>
        <w:rPr>
          <w:rFonts w:ascii="Times New Roman" w:eastAsia="Times New Roman" w:hAnsi="Times New Roman" w:cs="Times New Roman"/>
          <w:color w:val="000000"/>
          <w:sz w:val="28"/>
          <w:szCs w:val="28"/>
        </w:rPr>
        <w:t>., доцент, доцент кафедри програмної інженерії;</w:t>
      </w:r>
    </w:p>
    <w:p w:rsidR="00076811" w:rsidRDefault="0004391C">
      <w:pPr>
        <w:widowControl w:val="0"/>
        <w:numPr>
          <w:ilvl w:val="0"/>
          <w:numId w:val="1"/>
        </w:numPr>
        <w:pBdr>
          <w:top w:val="nil"/>
          <w:left w:val="nil"/>
          <w:bottom w:val="nil"/>
          <w:right w:val="nil"/>
          <w:between w:val="nil"/>
        </w:pBdr>
        <w:tabs>
          <w:tab w:val="left" w:pos="284"/>
          <w:tab w:val="left" w:pos="993"/>
        </w:tabs>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Мудрик Іван Ярославович</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член робочої групи, </w:t>
      </w:r>
      <w:proofErr w:type="spellStart"/>
      <w:r>
        <w:rPr>
          <w:rFonts w:ascii="Times New Roman" w:eastAsia="Times New Roman" w:hAnsi="Times New Roman" w:cs="Times New Roman"/>
          <w:color w:val="000000"/>
          <w:sz w:val="28"/>
          <w:szCs w:val="28"/>
        </w:rPr>
        <w:t>PhD</w:t>
      </w:r>
      <w:proofErr w:type="spellEnd"/>
      <w:r>
        <w:rPr>
          <w:rFonts w:ascii="Times New Roman" w:eastAsia="Times New Roman" w:hAnsi="Times New Roman" w:cs="Times New Roman"/>
          <w:color w:val="000000"/>
          <w:sz w:val="28"/>
          <w:szCs w:val="28"/>
        </w:rPr>
        <w:t>., доцент кафедри програмної інженерії;</w:t>
      </w:r>
    </w:p>
    <w:p w:rsidR="00076811" w:rsidRDefault="0004391C">
      <w:pPr>
        <w:widowControl w:val="0"/>
        <w:numPr>
          <w:ilvl w:val="0"/>
          <w:numId w:val="1"/>
        </w:numPr>
        <w:pBdr>
          <w:top w:val="nil"/>
          <w:left w:val="nil"/>
          <w:bottom w:val="nil"/>
          <w:right w:val="nil"/>
          <w:between w:val="nil"/>
        </w:pBdr>
        <w:tabs>
          <w:tab w:val="left" w:pos="284"/>
          <w:tab w:val="left" w:pos="993"/>
        </w:tabs>
        <w:spacing w:after="0" w:line="276" w:lineRule="auto"/>
        <w:ind w:left="1" w:hanging="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bCs/>
          <w:color w:val="000000"/>
          <w:sz w:val="28"/>
          <w:szCs w:val="28"/>
        </w:rPr>
        <w:t>Стефанишин</w:t>
      </w:r>
      <w:proofErr w:type="spellEnd"/>
      <w:r>
        <w:rPr>
          <w:rFonts w:ascii="Times New Roman" w:eastAsia="Times New Roman" w:hAnsi="Times New Roman" w:cs="Times New Roman"/>
          <w:b/>
          <w:bCs/>
          <w:color w:val="000000"/>
          <w:sz w:val="28"/>
          <w:szCs w:val="28"/>
        </w:rPr>
        <w:t xml:space="preserve"> Володимир Миколайович</w:t>
      </w:r>
      <w:r>
        <w:rPr>
          <w:rFonts w:ascii="Times New Roman" w:eastAsia="Times New Roman" w:hAnsi="Times New Roman" w:cs="Times New Roman"/>
          <w:color w:val="000000"/>
          <w:sz w:val="28"/>
          <w:szCs w:val="28"/>
        </w:rPr>
        <w:t xml:space="preserve"> – член робочої групи, аспірант 2-го року навчання, асистент кафедри програмної інженерії. </w:t>
      </w:r>
    </w:p>
    <w:p w:rsidR="00076811" w:rsidRDefault="00076811">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
    <w:p w:rsidR="00076811" w:rsidRDefault="0004391C">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Рецензії-відгуки зовнішніх стейк</w:t>
      </w:r>
      <w:r>
        <w:rPr>
          <w:rFonts w:ascii="Times New Roman" w:eastAsia="Times New Roman" w:hAnsi="Times New Roman" w:cs="Times New Roman"/>
          <w:sz w:val="28"/>
          <w:szCs w:val="28"/>
        </w:rPr>
        <w:t>х</w:t>
      </w:r>
      <w:r>
        <w:rPr>
          <w:rFonts w:ascii="Times New Roman" w:eastAsia="Times New Roman" w:hAnsi="Times New Roman" w:cs="Times New Roman"/>
          <w:color w:val="000000"/>
          <w:sz w:val="28"/>
          <w:szCs w:val="28"/>
        </w:rPr>
        <w:t>олдерів:</w:t>
      </w:r>
    </w:p>
    <w:p w:rsidR="00076811" w:rsidRDefault="0004391C">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Леонід БЕДРАТЮК</w:t>
      </w:r>
      <w:r>
        <w:rPr>
          <w:rFonts w:ascii="Times New Roman" w:eastAsia="Times New Roman" w:hAnsi="Times New Roman" w:cs="Times New Roman"/>
          <w:color w:val="000000"/>
          <w:sz w:val="28"/>
          <w:szCs w:val="28"/>
        </w:rPr>
        <w:t xml:space="preserve">, доктор </w:t>
      </w:r>
      <w:proofErr w:type="spellStart"/>
      <w:r>
        <w:rPr>
          <w:rFonts w:ascii="Times New Roman" w:eastAsia="Times New Roman" w:hAnsi="Times New Roman" w:cs="Times New Roman"/>
          <w:sz w:val="28"/>
          <w:szCs w:val="28"/>
        </w:rPr>
        <w:t>фіз</w:t>
      </w:r>
      <w:proofErr w:type="spellEnd"/>
      <w:r>
        <w:rPr>
          <w:rFonts w:ascii="Times New Roman" w:eastAsia="Times New Roman" w:hAnsi="Times New Roman" w:cs="Times New Roman"/>
          <w:sz w:val="28"/>
          <w:szCs w:val="28"/>
        </w:rPr>
        <w:t>.-мат.</w:t>
      </w:r>
      <w:r>
        <w:rPr>
          <w:rFonts w:ascii="Times New Roman" w:eastAsia="Times New Roman" w:hAnsi="Times New Roman" w:cs="Times New Roman"/>
          <w:color w:val="000000"/>
          <w:sz w:val="28"/>
          <w:szCs w:val="28"/>
        </w:rPr>
        <w:t xml:space="preserve"> наук, професор, завідувач кафедри </w:t>
      </w:r>
      <w:r>
        <w:rPr>
          <w:rFonts w:ascii="Times New Roman" w:eastAsia="Times New Roman" w:hAnsi="Times New Roman" w:cs="Times New Roman"/>
          <w:sz w:val="28"/>
          <w:szCs w:val="28"/>
        </w:rPr>
        <w:t>програмної інженерії</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Хмельницького національного університету.</w:t>
      </w:r>
    </w:p>
    <w:p w:rsidR="00076811" w:rsidRDefault="0004391C">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Андрій ПУКАС</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sz w:val="28"/>
          <w:szCs w:val="28"/>
        </w:rPr>
        <w:t>к.т.н</w:t>
      </w:r>
      <w:proofErr w:type="spellEnd"/>
      <w:r>
        <w:rPr>
          <w:rFonts w:ascii="Times New Roman" w:eastAsia="Times New Roman" w:hAnsi="Times New Roman" w:cs="Times New Roman"/>
          <w:sz w:val="28"/>
          <w:szCs w:val="28"/>
        </w:rPr>
        <w:t>., професор, завідувач кафедри комп'ютерних наук Західноукраїнського національного університету.</w:t>
      </w:r>
    </w:p>
    <w:p w:rsidR="00076811" w:rsidRDefault="0004391C">
      <w:pPr>
        <w:numPr>
          <w:ilvl w:val="0"/>
          <w:numId w:val="4"/>
        </w:numPr>
        <w:pBdr>
          <w:top w:val="nil"/>
          <w:left w:val="nil"/>
          <w:bottom w:val="nil"/>
          <w:right w:val="nil"/>
          <w:between w:val="nil"/>
        </w:pBd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Тетяна ГОРБУНОВА</w:t>
      </w:r>
      <w:r>
        <w:rPr>
          <w:rFonts w:ascii="Times New Roman" w:eastAsia="Times New Roman" w:hAnsi="Times New Roman" w:cs="Times New Roman"/>
          <w:sz w:val="28"/>
          <w:szCs w:val="28"/>
        </w:rPr>
        <w:t>, директор ТОВ “АПЛАБ УКРАЇНА”.</w:t>
      </w:r>
    </w:p>
    <w:p w:rsidR="00076811" w:rsidRDefault="0004391C">
      <w:pPr>
        <w:pBdr>
          <w:top w:val="nil"/>
          <w:left w:val="nil"/>
          <w:bottom w:val="nil"/>
          <w:right w:val="nil"/>
          <w:between w:val="nil"/>
        </w:pBdr>
        <w:spacing w:line="257" w:lineRule="auto"/>
        <w:rPr>
          <w:rFonts w:ascii="Roboto" w:eastAsia="Roboto" w:hAnsi="Roboto" w:cs="Roboto"/>
          <w:color w:val="000000"/>
          <w:sz w:val="28"/>
          <w:szCs w:val="28"/>
          <w:highlight w:val="white"/>
        </w:rPr>
        <w:sectPr w:rsidR="00076811">
          <w:headerReference w:type="even" r:id="rId7"/>
          <w:headerReference w:type="default" r:id="rId8"/>
          <w:headerReference w:type="first" r:id="rId9"/>
          <w:pgSz w:w="11906" w:h="16838"/>
          <w:pgMar w:top="567" w:right="567" w:bottom="567" w:left="1701" w:header="244" w:footer="0" w:gutter="0"/>
          <w:pgNumType w:start="22"/>
          <w:cols w:space="720"/>
        </w:sectPr>
      </w:pPr>
      <w:r>
        <w:br w:type="page"/>
      </w:r>
    </w:p>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1. Профіль освітньо</w:t>
      </w:r>
      <w:r>
        <w:rPr>
          <w:rFonts w:ascii="Times New Roman" w:eastAsia="Times New Roman" w:hAnsi="Times New Roman" w:cs="Times New Roman"/>
          <w:b/>
          <w:bCs/>
          <w:sz w:val="28"/>
          <w:szCs w:val="28"/>
        </w:rPr>
        <w:t>-наукової</w:t>
      </w:r>
      <w:r>
        <w:rPr>
          <w:rFonts w:ascii="Times New Roman" w:eastAsia="Times New Roman" w:hAnsi="Times New Roman" w:cs="Times New Roman"/>
          <w:b/>
          <w:bCs/>
          <w:color w:val="000000"/>
          <w:sz w:val="28"/>
          <w:szCs w:val="28"/>
        </w:rPr>
        <w:t xml:space="preserve"> програми «Інженерія програмного забезпечення» зі спеціальності F2 "Інженерія програмного забезпечення"</w:t>
      </w:r>
    </w:p>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bl>
      <w:tblPr>
        <w:tblStyle w:val="a6"/>
        <w:tblW w:w="9525" w:type="dxa"/>
        <w:tblInd w:w="10" w:type="dxa"/>
        <w:tblLayout w:type="fixed"/>
        <w:tblLook w:val="0000" w:firstRow="0" w:lastRow="0" w:firstColumn="0" w:lastColumn="0" w:noHBand="0" w:noVBand="0"/>
      </w:tblPr>
      <w:tblGrid>
        <w:gridCol w:w="2586"/>
        <w:gridCol w:w="43"/>
        <w:gridCol w:w="29"/>
        <w:gridCol w:w="1300"/>
        <w:gridCol w:w="5567"/>
      </w:tblGrid>
      <w:tr w:rsidR="00076811">
        <w:trPr>
          <w:trHeight w:val="275"/>
        </w:trPr>
        <w:tc>
          <w:tcPr>
            <w:tcW w:w="9525" w:type="dxa"/>
            <w:gridSpan w:val="5"/>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364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 Загальна інформація</w:t>
            </w:r>
          </w:p>
        </w:tc>
      </w:tr>
      <w:tr w:rsidR="00076811">
        <w:trPr>
          <w:trHeight w:val="1103"/>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ind w:left="107"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Повна назва вищого навчального закладу та структурного підрозділу</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40" w:lineRule="auto"/>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Тернопільський національний технічний університет імені Івана Пулюя. Факультет комп'ютерно-інформаційних систем і програмної інженерії. </w:t>
            </w:r>
          </w:p>
          <w:p w:rsidR="00076811" w:rsidRDefault="0004391C">
            <w:pPr>
              <w:widowControl w:val="0"/>
              <w:pBdr>
                <w:top w:val="nil"/>
                <w:left w:val="nil"/>
                <w:bottom w:val="nil"/>
                <w:right w:val="nil"/>
                <w:between w:val="nil"/>
              </w:pBdr>
              <w:spacing w:after="0" w:line="240" w:lineRule="auto"/>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Кафедра програмної інженерії.</w:t>
            </w:r>
          </w:p>
        </w:tc>
      </w:tr>
      <w:tr w:rsidR="00076811">
        <w:trPr>
          <w:trHeight w:val="1658"/>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before="1" w:after="0" w:line="240" w:lineRule="auto"/>
              <w:ind w:left="107"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Ступінь вищої освіти та назва кваліфікації мовою оригіналу</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40" w:lineRule="auto"/>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Ступінь ВО - доктор філософії (</w:t>
            </w:r>
            <w:proofErr w:type="spellStart"/>
            <w:r>
              <w:rPr>
                <w:rFonts w:ascii="Times New Roman" w:eastAsia="Times New Roman" w:hAnsi="Times New Roman" w:cs="Times New Roman"/>
                <w:color w:val="000000"/>
                <w:sz w:val="24"/>
                <w:szCs w:val="24"/>
              </w:rPr>
              <w:t>Philosophy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Doctor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degree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PhD</w:t>
            </w:r>
            <w:proofErr w:type="spellEnd"/>
            <w:r>
              <w:rPr>
                <w:rFonts w:ascii="Times New Roman" w:eastAsia="Times New Roman" w:hAnsi="Times New Roman" w:cs="Times New Roman"/>
                <w:color w:val="000000"/>
                <w:sz w:val="24"/>
                <w:szCs w:val="24"/>
              </w:rPr>
              <w:t>)).</w:t>
            </w:r>
          </w:p>
          <w:p w:rsidR="00076811" w:rsidRDefault="0004391C">
            <w:pPr>
              <w:widowControl w:val="0"/>
              <w:pBdr>
                <w:top w:val="nil"/>
                <w:left w:val="nil"/>
                <w:bottom w:val="nil"/>
                <w:right w:val="nil"/>
                <w:between w:val="nil"/>
              </w:pBdr>
              <w:spacing w:after="0" w:line="240" w:lineRule="auto"/>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Кваліфікація - доктор філософії з інженерії програмного забезпечення (</w:t>
            </w:r>
            <w:proofErr w:type="spellStart"/>
            <w:r>
              <w:rPr>
                <w:rFonts w:ascii="Times New Roman" w:eastAsia="Times New Roman" w:hAnsi="Times New Roman" w:cs="Times New Roman"/>
                <w:color w:val="000000"/>
                <w:sz w:val="24"/>
                <w:szCs w:val="24"/>
              </w:rPr>
              <w:t>Doctor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Philosophy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highlight w:val="white"/>
              </w:rPr>
              <w:t>Software</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Engineering</w:t>
            </w:r>
            <w:proofErr w:type="spellEnd"/>
            <w:r>
              <w:rPr>
                <w:rFonts w:ascii="Times New Roman" w:eastAsia="Times New Roman" w:hAnsi="Times New Roman" w:cs="Times New Roman"/>
                <w:color w:val="000000"/>
                <w:sz w:val="24"/>
                <w:szCs w:val="24"/>
              </w:rPr>
              <w:t>).</w:t>
            </w:r>
          </w:p>
        </w:tc>
      </w:tr>
      <w:tr w:rsidR="00076811">
        <w:trPr>
          <w:trHeight w:val="551"/>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1971"/>
              </w:tabs>
              <w:spacing w:after="0"/>
              <w:ind w:left="107" w:right="9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Офіційна назва освітньо</w:t>
            </w:r>
            <w:r>
              <w:rPr>
                <w:rFonts w:ascii="Times New Roman" w:eastAsia="Times New Roman" w:hAnsi="Times New Roman" w:cs="Times New Roman"/>
                <w:b/>
                <w:bCs/>
                <w:sz w:val="24"/>
                <w:szCs w:val="24"/>
              </w:rPr>
              <w:t>-наукової</w:t>
            </w:r>
            <w:r>
              <w:rPr>
                <w:rFonts w:ascii="Times New Roman" w:eastAsia="Times New Roman" w:hAnsi="Times New Roman" w:cs="Times New Roman"/>
                <w:b/>
                <w:bCs/>
                <w:color w:val="000000"/>
                <w:sz w:val="24"/>
                <w:szCs w:val="24"/>
              </w:rPr>
              <w:t xml:space="preserve"> програми</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Інженерія програмного забезпечення (</w:t>
            </w:r>
            <w:proofErr w:type="spellStart"/>
            <w:r>
              <w:rPr>
                <w:rFonts w:ascii="Times New Roman" w:eastAsia="Times New Roman" w:hAnsi="Times New Roman" w:cs="Times New Roman"/>
                <w:color w:val="000000"/>
                <w:sz w:val="24"/>
                <w:szCs w:val="24"/>
                <w:highlight w:val="white"/>
              </w:rPr>
              <w:t>Software</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Engineering</w:t>
            </w:r>
            <w:proofErr w:type="spellEnd"/>
            <w:r>
              <w:rPr>
                <w:rFonts w:ascii="Times New Roman" w:eastAsia="Times New Roman" w:hAnsi="Times New Roman" w:cs="Times New Roman"/>
                <w:color w:val="333333"/>
                <w:sz w:val="24"/>
                <w:szCs w:val="24"/>
                <w:highlight w:val="white"/>
              </w:rPr>
              <w:t>)</w:t>
            </w:r>
          </w:p>
        </w:tc>
      </w:tr>
      <w:tr w:rsidR="00076811">
        <w:trPr>
          <w:trHeight w:val="1379"/>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Тип диплому та обсяг освітньо</w:t>
            </w:r>
            <w:r>
              <w:rPr>
                <w:rFonts w:ascii="Times New Roman" w:eastAsia="Times New Roman" w:hAnsi="Times New Roman" w:cs="Times New Roman"/>
                <w:b/>
                <w:bCs/>
                <w:sz w:val="24"/>
                <w:szCs w:val="24"/>
              </w:rPr>
              <w:t>-наукової</w:t>
            </w:r>
            <w:r>
              <w:rPr>
                <w:rFonts w:ascii="Times New Roman" w:eastAsia="Times New Roman" w:hAnsi="Times New Roman" w:cs="Times New Roman"/>
                <w:b/>
                <w:bCs/>
                <w:color w:val="000000"/>
                <w:sz w:val="24"/>
                <w:szCs w:val="24"/>
              </w:rPr>
              <w:t xml:space="preserve"> програми</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Диплом доктора філософії </w:t>
            </w:r>
            <w:proofErr w:type="spellStart"/>
            <w:r>
              <w:rPr>
                <w:rFonts w:ascii="Times New Roman" w:eastAsia="Times New Roman" w:hAnsi="Times New Roman" w:cs="Times New Roman"/>
                <w:color w:val="000000"/>
                <w:sz w:val="24"/>
                <w:szCs w:val="24"/>
              </w:rPr>
              <w:t>PhD</w:t>
            </w:r>
            <w:proofErr w:type="spellEnd"/>
            <w:r>
              <w:rPr>
                <w:rFonts w:ascii="Times New Roman" w:eastAsia="Times New Roman" w:hAnsi="Times New Roman" w:cs="Times New Roman"/>
                <w:color w:val="000000"/>
                <w:sz w:val="24"/>
                <w:szCs w:val="24"/>
              </w:rPr>
              <w:t>, одиничний,</w:t>
            </w:r>
            <w:r>
              <w:rPr>
                <w:color w:val="000000"/>
                <w:sz w:val="24"/>
                <w:szCs w:val="24"/>
              </w:rPr>
              <w:t xml:space="preserve"> </w:t>
            </w:r>
            <w:r>
              <w:rPr>
                <w:rFonts w:ascii="Times New Roman" w:eastAsia="Times New Roman" w:hAnsi="Times New Roman" w:cs="Times New Roman"/>
                <w:color w:val="000000"/>
                <w:sz w:val="24"/>
                <w:szCs w:val="24"/>
              </w:rPr>
              <w:t>240,0 кредитів ЄКТС, термін навчання 4 роки, зокрема освітньої складової 2 роки (51 кредит)</w:t>
            </w:r>
          </w:p>
        </w:tc>
      </w:tr>
      <w:tr w:rsidR="00076811">
        <w:trPr>
          <w:trHeight w:val="826"/>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Наявність акредитації</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1483"/>
                <w:tab w:val="left" w:pos="2171"/>
                <w:tab w:val="left" w:pos="3136"/>
                <w:tab w:val="left" w:pos="3894"/>
                <w:tab w:val="left" w:pos="4352"/>
                <w:tab w:val="left" w:pos="5227"/>
                <w:tab w:val="left" w:pos="6709"/>
              </w:tabs>
              <w:spacing w:after="0"/>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r>
      <w:tr w:rsidR="00076811">
        <w:trPr>
          <w:trHeight w:val="826"/>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Цикл/рівень</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НРК України – 8 рівень, FQ-EHEA – третій цикл, ЕQF-LLL – 8 рівень</w:t>
            </w:r>
          </w:p>
        </w:tc>
      </w:tr>
      <w:tr w:rsidR="00076811">
        <w:trPr>
          <w:trHeight w:val="1103"/>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Передумови</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Наявність освітнього ступеня «магістр» або освітньо-кваліфікаційного рівня  «спеціаліст»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 за іншою спеціальністю). Умови вступу визначаються «Правилами прийому до Тернопільського національного технічного університету імені Івана Пулюя» </w:t>
            </w:r>
            <w:r>
              <w:rPr>
                <w:rFonts w:ascii="Times New Roman" w:eastAsia="Times New Roman" w:hAnsi="Times New Roman" w:cs="Times New Roman"/>
                <w:color w:val="0000FF"/>
                <w:sz w:val="24"/>
                <w:szCs w:val="24"/>
                <w:u w:val="single"/>
              </w:rPr>
              <w:t>https://tntu.edu.ua/?p=uk/admission/rules</w:t>
            </w:r>
          </w:p>
        </w:tc>
      </w:tr>
      <w:tr w:rsidR="00076811">
        <w:trPr>
          <w:trHeight w:val="275"/>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Мова(и) викладання</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Українська</w:t>
            </w:r>
          </w:p>
        </w:tc>
      </w:tr>
      <w:tr w:rsidR="00076811">
        <w:trPr>
          <w:trHeight w:val="827"/>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1076"/>
                <w:tab w:val="left" w:pos="1582"/>
              </w:tabs>
              <w:spacing w:after="0" w:line="240" w:lineRule="auto"/>
              <w:ind w:left="107" w:right="9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Форми здобуття освіти</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Очна (денна</w:t>
            </w:r>
            <w:r>
              <w:rPr>
                <w:rFonts w:ascii="Times New Roman" w:eastAsia="Times New Roman" w:hAnsi="Times New Roman" w:cs="Times New Roman"/>
                <w:sz w:val="24"/>
                <w:szCs w:val="24"/>
              </w:rPr>
              <w:t>), заочна.</w:t>
            </w:r>
          </w:p>
        </w:tc>
      </w:tr>
      <w:tr w:rsidR="00076811">
        <w:trPr>
          <w:trHeight w:val="827"/>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1076"/>
                <w:tab w:val="left" w:pos="1582"/>
              </w:tabs>
              <w:spacing w:after="0" w:line="240" w:lineRule="auto"/>
              <w:ind w:left="107" w:right="9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Розрахункові строки виконання освітньо</w:t>
            </w:r>
            <w:r>
              <w:rPr>
                <w:rFonts w:ascii="Times New Roman" w:eastAsia="Times New Roman" w:hAnsi="Times New Roman" w:cs="Times New Roman"/>
                <w:b/>
                <w:bCs/>
                <w:sz w:val="24"/>
                <w:szCs w:val="24"/>
              </w:rPr>
              <w:t xml:space="preserve">-наукової </w:t>
            </w:r>
            <w:r>
              <w:rPr>
                <w:rFonts w:ascii="Times New Roman" w:eastAsia="Times New Roman" w:hAnsi="Times New Roman" w:cs="Times New Roman"/>
                <w:b/>
                <w:bCs/>
                <w:color w:val="000000"/>
                <w:sz w:val="24"/>
                <w:szCs w:val="24"/>
              </w:rPr>
              <w:t>програми</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базі НРК 7 – 4 роки</w:t>
            </w:r>
          </w:p>
        </w:tc>
      </w:tr>
      <w:tr w:rsidR="00076811">
        <w:trPr>
          <w:trHeight w:val="1103"/>
        </w:trPr>
        <w:tc>
          <w:tcPr>
            <w:tcW w:w="2629" w:type="dxa"/>
            <w:gridSpan w:val="2"/>
            <w:tcBorders>
              <w:top w:val="single" w:sz="4" w:space="0" w:color="000000"/>
              <w:left w:val="single" w:sz="4" w:space="0" w:color="000000"/>
              <w:bottom w:val="single" w:sz="6" w:space="0" w:color="000000"/>
              <w:right w:val="single" w:sz="4" w:space="0" w:color="000000"/>
            </w:tcBorders>
          </w:tcPr>
          <w:p w:rsidR="00076811" w:rsidRDefault="0004391C">
            <w:pPr>
              <w:widowControl w:val="0"/>
              <w:pBdr>
                <w:top w:val="nil"/>
                <w:left w:val="nil"/>
                <w:bottom w:val="nil"/>
                <w:right w:val="nil"/>
                <w:between w:val="nil"/>
              </w:pBdr>
              <w:tabs>
                <w:tab w:val="left" w:pos="1580"/>
              </w:tabs>
              <w:spacing w:after="0"/>
              <w:ind w:left="107" w:right="9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Інтернет-адреса постійного розміщення опису освітньо</w:t>
            </w:r>
            <w:r>
              <w:rPr>
                <w:rFonts w:ascii="Times New Roman" w:eastAsia="Times New Roman" w:hAnsi="Times New Roman" w:cs="Times New Roman"/>
                <w:b/>
                <w:bCs/>
                <w:sz w:val="24"/>
                <w:szCs w:val="24"/>
              </w:rPr>
              <w:t>-наукової</w:t>
            </w:r>
            <w:r>
              <w:rPr>
                <w:rFonts w:ascii="Times New Roman" w:eastAsia="Times New Roman" w:hAnsi="Times New Roman" w:cs="Times New Roman"/>
                <w:b/>
                <w:bCs/>
                <w:color w:val="000000"/>
                <w:sz w:val="24"/>
                <w:szCs w:val="24"/>
              </w:rPr>
              <w:t xml:space="preserve">  програми</w:t>
            </w:r>
          </w:p>
        </w:tc>
        <w:tc>
          <w:tcPr>
            <w:tcW w:w="6896" w:type="dxa"/>
            <w:gridSpan w:val="3"/>
            <w:tcBorders>
              <w:top w:val="single" w:sz="4" w:space="0" w:color="000000"/>
              <w:left w:val="single" w:sz="4" w:space="0" w:color="000000"/>
              <w:bottom w:val="single" w:sz="6" w:space="0" w:color="000000"/>
              <w:right w:val="single" w:sz="4" w:space="0" w:color="000000"/>
            </w:tcBorders>
          </w:tcPr>
          <w:p w:rsidR="00076811" w:rsidRDefault="004127A8">
            <w:pPr>
              <w:widowControl w:val="0"/>
              <w:pBdr>
                <w:top w:val="nil"/>
                <w:left w:val="nil"/>
                <w:bottom w:val="nil"/>
                <w:right w:val="nil"/>
                <w:between w:val="nil"/>
              </w:pBdr>
              <w:spacing w:before="1" w:after="0" w:line="240" w:lineRule="auto"/>
              <w:ind w:left="113" w:right="113"/>
              <w:rPr>
                <w:rFonts w:ascii="Times New Roman" w:eastAsia="Times New Roman" w:hAnsi="Times New Roman" w:cs="Times New Roman"/>
                <w:color w:val="000000"/>
                <w:sz w:val="24"/>
                <w:szCs w:val="24"/>
              </w:rPr>
            </w:pPr>
            <w:hyperlink r:id="rId10">
              <w:r w:rsidR="0004391C">
                <w:rPr>
                  <w:rFonts w:ascii="Times New Roman" w:eastAsia="Times New Roman" w:hAnsi="Times New Roman" w:cs="Times New Roman"/>
                  <w:color w:val="0000FF"/>
                  <w:sz w:val="24"/>
                  <w:szCs w:val="24"/>
                  <w:u w:val="single"/>
                </w:rPr>
                <w:t>https://tntu.edu.ua/?p=uk/structure/faculties/fis</w:t>
              </w:r>
            </w:hyperlink>
          </w:p>
        </w:tc>
      </w:tr>
      <w:tr w:rsidR="00076811">
        <w:trPr>
          <w:trHeight w:val="273"/>
        </w:trPr>
        <w:tc>
          <w:tcPr>
            <w:tcW w:w="9525" w:type="dxa"/>
            <w:gridSpan w:val="5"/>
            <w:tcBorders>
              <w:top w:val="single" w:sz="6"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342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 Мета освітньо</w:t>
            </w:r>
            <w:r>
              <w:rPr>
                <w:rFonts w:ascii="Times New Roman" w:eastAsia="Times New Roman" w:hAnsi="Times New Roman" w:cs="Times New Roman"/>
                <w:b/>
                <w:bCs/>
                <w:sz w:val="24"/>
                <w:szCs w:val="24"/>
              </w:rPr>
              <w:t>-наукової</w:t>
            </w:r>
            <w:r>
              <w:rPr>
                <w:rFonts w:ascii="Times New Roman" w:eastAsia="Times New Roman" w:hAnsi="Times New Roman" w:cs="Times New Roman"/>
                <w:b/>
                <w:bCs/>
                <w:color w:val="000000"/>
                <w:sz w:val="24"/>
                <w:szCs w:val="24"/>
              </w:rPr>
              <w:t xml:space="preserve"> програми</w:t>
            </w:r>
          </w:p>
        </w:tc>
      </w:tr>
      <w:tr w:rsidR="00076811">
        <w:trPr>
          <w:trHeight w:val="275"/>
        </w:trPr>
        <w:tc>
          <w:tcPr>
            <w:tcW w:w="9525" w:type="dxa"/>
            <w:gridSpan w:val="5"/>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Метою програми є підготовка висококваліфікованих фахівців в галузі інформаційних технологій, здатних розв’язувати комплексні проблеми інженерії програмного забезпечення та математичного моделювання, проводити оригінальні самостійні наукові </w:t>
            </w:r>
            <w:r>
              <w:rPr>
                <w:rFonts w:ascii="Times New Roman" w:eastAsia="Times New Roman" w:hAnsi="Times New Roman" w:cs="Times New Roman"/>
                <w:color w:val="000000"/>
                <w:sz w:val="24"/>
                <w:szCs w:val="24"/>
              </w:rPr>
              <w:lastRenderedPageBreak/>
              <w:t xml:space="preserve">дослідження та здійснювати науково-педагогічну діяльність. </w:t>
            </w:r>
          </w:p>
          <w:p w:rsidR="00076811" w:rsidRDefault="0004391C">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Програма розроблена відповідно до місії та стратегії ТНТУ (http://surl.li/rcrsa), спрямована на розвиток у здобувачів освіти  емпіричних та аналітичних навиків у предметній області та на формування особистості дослідника високого рівня із глибинними професійними знаннями, науковим і культурним кругозором, вміннями інноваційного характеру, достатнім рівнем інтелектуального потенціалу для вирішення проблемних професійних завдань інформаційних технологій.</w:t>
            </w:r>
          </w:p>
        </w:tc>
      </w:tr>
      <w:tr w:rsidR="00076811">
        <w:trPr>
          <w:trHeight w:val="275"/>
        </w:trPr>
        <w:tc>
          <w:tcPr>
            <w:tcW w:w="9525" w:type="dxa"/>
            <w:gridSpan w:val="5"/>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280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3. Характеристика освітньо</w:t>
            </w:r>
            <w:r>
              <w:rPr>
                <w:rFonts w:ascii="Times New Roman" w:eastAsia="Times New Roman" w:hAnsi="Times New Roman" w:cs="Times New Roman"/>
                <w:b/>
                <w:bCs/>
                <w:sz w:val="24"/>
                <w:szCs w:val="24"/>
              </w:rPr>
              <w:t>-наукової</w:t>
            </w:r>
            <w:r>
              <w:rPr>
                <w:rFonts w:ascii="Times New Roman" w:eastAsia="Times New Roman" w:hAnsi="Times New Roman" w:cs="Times New Roman"/>
                <w:b/>
                <w:bCs/>
                <w:color w:val="000000"/>
                <w:sz w:val="24"/>
                <w:szCs w:val="24"/>
              </w:rPr>
              <w:t xml:space="preserve"> програми</w:t>
            </w:r>
          </w:p>
        </w:tc>
      </w:tr>
      <w:tr w:rsidR="00076811">
        <w:trPr>
          <w:trHeight w:val="1931"/>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1727"/>
              </w:tabs>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Предметна область (галузь знань, спеціальність, спеціалізація (за наявності)</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numPr>
                <w:ilvl w:val="0"/>
                <w:numId w:val="2"/>
              </w:numPr>
              <w:pBdr>
                <w:top w:val="nil"/>
                <w:left w:val="nil"/>
                <w:bottom w:val="nil"/>
                <w:right w:val="nil"/>
                <w:between w:val="nil"/>
              </w:pBdr>
              <w:shd w:val="clear" w:color="auto" w:fill="FFFFFF"/>
              <w:tabs>
                <w:tab w:val="left" w:pos="541"/>
              </w:tabs>
              <w:spacing w:after="0" w:line="276" w:lineRule="auto"/>
              <w:ind w:left="141" w:right="113" w:firstLine="135"/>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об’єкт діяльності:</w:t>
            </w:r>
            <w:r>
              <w:rPr>
                <w:rFonts w:ascii="Times New Roman" w:eastAsia="Times New Roman" w:hAnsi="Times New Roman" w:cs="Times New Roman"/>
                <w:color w:val="000000"/>
                <w:sz w:val="24"/>
                <w:szCs w:val="24"/>
              </w:rPr>
              <w:t xml:space="preserve"> процеси аналізу вимог, розроблення, забезпечення якості, впровадження і супроводження програмного забезпечення;</w:t>
            </w:r>
          </w:p>
          <w:p w:rsidR="00076811" w:rsidRDefault="0004391C">
            <w:pPr>
              <w:numPr>
                <w:ilvl w:val="0"/>
                <w:numId w:val="2"/>
              </w:numPr>
              <w:pBdr>
                <w:top w:val="nil"/>
                <w:left w:val="nil"/>
                <w:bottom w:val="nil"/>
                <w:right w:val="nil"/>
                <w:between w:val="nil"/>
              </w:pBdr>
              <w:shd w:val="clear" w:color="auto" w:fill="FFFFFF"/>
              <w:tabs>
                <w:tab w:val="left" w:pos="541"/>
              </w:tabs>
              <w:spacing w:after="0" w:line="276" w:lineRule="auto"/>
              <w:ind w:left="141" w:right="113" w:firstLine="135"/>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цілі навчання</w:t>
            </w:r>
            <w:r>
              <w:rPr>
                <w:rFonts w:ascii="Times New Roman" w:eastAsia="Times New Roman" w:hAnsi="Times New Roman" w:cs="Times New Roman"/>
                <w:color w:val="000000"/>
                <w:sz w:val="24"/>
                <w:szCs w:val="24"/>
              </w:rPr>
              <w:t>: набуття здатності продукувати нові ідеї, проводити фундаментальні та прикладні дослідження, здійснювати науково-педагогічну діяльність, розв’язувати комплексні проблеми професійної та/або дослідницько- інноваційної діяльності у сфері інженерії програмного забезпечення, що передбачає глибоке переосмислення наявних та створення нових цілісних знань та/або професійної практики;</w:t>
            </w:r>
          </w:p>
          <w:p w:rsidR="00076811" w:rsidRDefault="0004391C">
            <w:pPr>
              <w:numPr>
                <w:ilvl w:val="0"/>
                <w:numId w:val="2"/>
              </w:numPr>
              <w:pBdr>
                <w:top w:val="nil"/>
                <w:left w:val="nil"/>
                <w:bottom w:val="nil"/>
                <w:right w:val="nil"/>
                <w:between w:val="nil"/>
              </w:pBdr>
              <w:shd w:val="clear" w:color="auto" w:fill="FFFFFF"/>
              <w:tabs>
                <w:tab w:val="left" w:pos="541"/>
              </w:tabs>
              <w:spacing w:after="0" w:line="276" w:lineRule="auto"/>
              <w:ind w:left="141" w:right="113" w:firstLine="135"/>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теоретичний зміст предметної області</w:t>
            </w:r>
            <w:r>
              <w:rPr>
                <w:rFonts w:ascii="Times New Roman" w:eastAsia="Times New Roman" w:hAnsi="Times New Roman" w:cs="Times New Roman"/>
                <w:color w:val="000000"/>
                <w:sz w:val="24"/>
                <w:szCs w:val="24"/>
              </w:rPr>
              <w:t>: моделі, методи, технології, процеси та способи розроблення і супроводу програмного забезпечення та забезпечення його якості;</w:t>
            </w:r>
          </w:p>
          <w:p w:rsidR="00076811" w:rsidRDefault="0004391C">
            <w:pPr>
              <w:numPr>
                <w:ilvl w:val="0"/>
                <w:numId w:val="2"/>
              </w:numPr>
              <w:pBdr>
                <w:top w:val="nil"/>
                <w:left w:val="nil"/>
                <w:bottom w:val="nil"/>
                <w:right w:val="nil"/>
                <w:between w:val="nil"/>
              </w:pBdr>
              <w:shd w:val="clear" w:color="auto" w:fill="FFFFFF"/>
              <w:tabs>
                <w:tab w:val="left" w:pos="541"/>
              </w:tabs>
              <w:spacing w:after="0" w:line="276" w:lineRule="auto"/>
              <w:ind w:left="141" w:right="113" w:firstLine="135"/>
              <w:jc w:val="both"/>
              <w:rPr>
                <w:color w:val="000000"/>
                <w:sz w:val="23"/>
                <w:szCs w:val="23"/>
              </w:rPr>
            </w:pPr>
            <w:r>
              <w:rPr>
                <w:rFonts w:ascii="Times New Roman" w:eastAsia="Times New Roman" w:hAnsi="Times New Roman" w:cs="Times New Roman"/>
                <w:i/>
                <w:iCs/>
                <w:color w:val="000000"/>
                <w:sz w:val="24"/>
                <w:szCs w:val="24"/>
              </w:rPr>
              <w:t>методи, методики та технології</w:t>
            </w:r>
            <w:r>
              <w:rPr>
                <w:rFonts w:ascii="Times New Roman" w:eastAsia="Times New Roman" w:hAnsi="Times New Roman" w:cs="Times New Roman"/>
                <w:color w:val="000000"/>
                <w:sz w:val="24"/>
                <w:szCs w:val="24"/>
              </w:rPr>
              <w:t xml:space="preserve">: об'єктивні методи </w:t>
            </w:r>
            <w:proofErr w:type="spellStart"/>
            <w:r>
              <w:rPr>
                <w:rFonts w:ascii="Times New Roman" w:eastAsia="Times New Roman" w:hAnsi="Times New Roman" w:cs="Times New Roman"/>
                <w:color w:val="000000"/>
                <w:sz w:val="24"/>
                <w:szCs w:val="24"/>
              </w:rPr>
              <w:t>феноменологізації</w:t>
            </w:r>
            <w:proofErr w:type="spellEnd"/>
            <w:r>
              <w:rPr>
                <w:rFonts w:ascii="Times New Roman" w:eastAsia="Times New Roman" w:hAnsi="Times New Roman" w:cs="Times New Roman"/>
                <w:color w:val="000000"/>
                <w:sz w:val="24"/>
                <w:szCs w:val="24"/>
              </w:rPr>
              <w:t xml:space="preserve">, систематизації, коригування отриманих раніше та створення нових знань в інженерії програмного забезпечення, технології розроблення, супроводу та забезпечення якості програмного забезпечення, сучасні цифрові технології, математичні методи інженерії програмного забезпечення; </w:t>
            </w:r>
          </w:p>
          <w:p w:rsidR="00076811" w:rsidRDefault="0004391C">
            <w:pPr>
              <w:numPr>
                <w:ilvl w:val="0"/>
                <w:numId w:val="2"/>
              </w:numPr>
              <w:pBdr>
                <w:top w:val="nil"/>
                <w:left w:val="nil"/>
                <w:bottom w:val="nil"/>
                <w:right w:val="nil"/>
                <w:between w:val="nil"/>
              </w:pBdr>
              <w:shd w:val="clear" w:color="auto" w:fill="FFFFFF"/>
              <w:tabs>
                <w:tab w:val="left" w:pos="541"/>
              </w:tabs>
              <w:spacing w:after="0" w:line="276" w:lineRule="auto"/>
              <w:ind w:left="141" w:right="113" w:firstLine="135"/>
              <w:jc w:val="both"/>
              <w:rPr>
                <w:color w:val="000000"/>
                <w:sz w:val="23"/>
                <w:szCs w:val="23"/>
              </w:rPr>
            </w:pPr>
            <w:r>
              <w:rPr>
                <w:rFonts w:ascii="Times New Roman" w:eastAsia="Times New Roman" w:hAnsi="Times New Roman" w:cs="Times New Roman"/>
                <w:i/>
                <w:iCs/>
                <w:color w:val="000000"/>
                <w:sz w:val="24"/>
                <w:szCs w:val="24"/>
              </w:rPr>
              <w:t>інструменти та устаткування</w:t>
            </w:r>
            <w:r>
              <w:rPr>
                <w:rFonts w:ascii="Times New Roman" w:eastAsia="Times New Roman" w:hAnsi="Times New Roman" w:cs="Times New Roman"/>
                <w:color w:val="000000"/>
                <w:sz w:val="24"/>
                <w:szCs w:val="24"/>
              </w:rPr>
              <w:t>: програмно-апаратні та хмарні засоби підтримки процесів інженерії програмного забезпечення.</w:t>
            </w:r>
          </w:p>
        </w:tc>
      </w:tr>
      <w:tr w:rsidR="00076811">
        <w:trPr>
          <w:trHeight w:val="2210"/>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1585"/>
              </w:tabs>
              <w:spacing w:before="1" w:after="0" w:line="240" w:lineRule="auto"/>
              <w:ind w:left="107" w:right="9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Орієнтація освітньо</w:t>
            </w:r>
            <w:r>
              <w:rPr>
                <w:rFonts w:ascii="Times New Roman" w:eastAsia="Times New Roman" w:hAnsi="Times New Roman" w:cs="Times New Roman"/>
                <w:b/>
                <w:bCs/>
                <w:sz w:val="24"/>
                <w:szCs w:val="24"/>
              </w:rPr>
              <w:t>-наукової</w:t>
            </w:r>
            <w:r>
              <w:rPr>
                <w:rFonts w:ascii="Times New Roman" w:eastAsia="Times New Roman" w:hAnsi="Times New Roman" w:cs="Times New Roman"/>
                <w:b/>
                <w:bCs/>
                <w:color w:val="000000"/>
                <w:sz w:val="24"/>
                <w:szCs w:val="24"/>
              </w:rPr>
              <w:t xml:space="preserve"> програми</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107"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Освітньо-наукова програма з інженерії програмного забезпечення враховує регіональні особливості IT-індустрії, поєднує освіту, науку та практичну реалізацію, базується на сучасних досягненнях, результатах наукових досліджень та тенденціях розвитку інформаційних технологій та інженерії програмного забезпечення як в Україні, так і за її межами. Програма спрямована на актуальні аспекти спеціальності в галузі розробки програмного забезпечення, штучного інтелекту, науки про дані, що відповідають пріоритетним науковим дослідженням Університету та міжнародним науковим дослідженням, які є важливими на місцевому, регіональному та національному рівнях. Програма орієнтована на швидкозмінні вимоги міжнародних пріоритетних фундаментальних та прикладних напрямів досліджень, результати яких безпосередньо залежать від рівня розробок інженерії програмного забезпечення, вимоги до яких </w:t>
            </w:r>
            <w:r>
              <w:rPr>
                <w:rFonts w:ascii="Times New Roman" w:eastAsia="Times New Roman" w:hAnsi="Times New Roman" w:cs="Times New Roman"/>
                <w:color w:val="000000"/>
                <w:sz w:val="24"/>
                <w:szCs w:val="24"/>
              </w:rPr>
              <w:lastRenderedPageBreak/>
              <w:t>визначаються цілями наукових досліджень. Програмна орієнтована також на актуальні напрями спеціальності, що відкривають можливості для подальшої наукової та викладацької кар’єри здобувачів.</w:t>
            </w:r>
          </w:p>
        </w:tc>
      </w:tr>
      <w:tr w:rsidR="00076811">
        <w:trPr>
          <w:trHeight w:val="827"/>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1901"/>
              </w:tabs>
              <w:spacing w:after="0"/>
              <w:ind w:left="107"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Основний фокус освітньо</w:t>
            </w:r>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науковї</w:t>
            </w:r>
            <w:proofErr w:type="spellEnd"/>
            <w:r>
              <w:rPr>
                <w:rFonts w:ascii="Times New Roman" w:eastAsia="Times New Roman" w:hAnsi="Times New Roman" w:cs="Times New Roman"/>
                <w:b/>
                <w:bCs/>
                <w:color w:val="000000"/>
                <w:sz w:val="24"/>
                <w:szCs w:val="24"/>
              </w:rPr>
              <w:t xml:space="preserve"> програми та спеціалізації</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Спеціалізована освіта (підготовка наукових і науково-педагогічних кадрів) у галузі знань </w:t>
            </w: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 xml:space="preserve"> Інформаційні технології за спеціальністю </w:t>
            </w:r>
            <w:r>
              <w:rPr>
                <w:rFonts w:ascii="Times New Roman" w:eastAsia="Times New Roman" w:hAnsi="Times New Roman" w:cs="Times New Roman"/>
                <w:sz w:val="24"/>
                <w:szCs w:val="24"/>
              </w:rPr>
              <w:t>F2</w:t>
            </w:r>
            <w:r>
              <w:rPr>
                <w:rFonts w:ascii="Times New Roman" w:eastAsia="Times New Roman" w:hAnsi="Times New Roman" w:cs="Times New Roman"/>
                <w:color w:val="000000"/>
                <w:sz w:val="24"/>
                <w:szCs w:val="24"/>
              </w:rPr>
              <w:t xml:space="preserve"> Інженерія програмного забезпечення спрямована на підготовку фахівців із науковим ухилом, відповідно до пріоритетних напрямів наукової діяльності університету. Програма зосереджена на розвитку глибоких теоретичних знань і практичних навичок у сфері наукових досліджень, педагогіки й психології вищої школи, методів розробки та моделювання програмного забезпечення й предметних областей. Програма передбачає виконання фундаментальних  досліджень для забезпечення швидкозмінних потреб та вимог пріоритетних предметних областей, результати яких напряму залежать від рівня розвитку програмного забезпечення. </w:t>
            </w:r>
            <w:r>
              <w:rPr>
                <w:rFonts w:ascii="Times New Roman" w:eastAsia="Times New Roman" w:hAnsi="Times New Roman" w:cs="Times New Roman"/>
                <w:sz w:val="24"/>
                <w:szCs w:val="24"/>
              </w:rPr>
              <w:t>Здобувачі</w:t>
            </w:r>
            <w:r>
              <w:rPr>
                <w:rFonts w:ascii="Times New Roman" w:eastAsia="Times New Roman" w:hAnsi="Times New Roman" w:cs="Times New Roman"/>
                <w:color w:val="000000"/>
                <w:sz w:val="24"/>
                <w:szCs w:val="24"/>
              </w:rPr>
              <w:t xml:space="preserve"> оволодівають </w:t>
            </w:r>
            <w:r>
              <w:rPr>
                <w:rFonts w:ascii="Times New Roman" w:eastAsia="Times New Roman" w:hAnsi="Times New Roman" w:cs="Times New Roman"/>
                <w:sz w:val="24"/>
                <w:szCs w:val="24"/>
              </w:rPr>
              <w:t>навичками</w:t>
            </w:r>
            <w:r>
              <w:rPr>
                <w:rFonts w:ascii="Times New Roman" w:eastAsia="Times New Roman" w:hAnsi="Times New Roman" w:cs="Times New Roman"/>
                <w:color w:val="000000"/>
                <w:sz w:val="24"/>
                <w:szCs w:val="24"/>
              </w:rPr>
              <w:t xml:space="preserve"> організації наукових досліджень, розробки, моделювання програмного забезпечення, наук про дані, а також застосування сучасних ін</w:t>
            </w:r>
            <w:r>
              <w:rPr>
                <w:rFonts w:ascii="Times New Roman" w:eastAsia="Times New Roman" w:hAnsi="Times New Roman" w:cs="Times New Roman"/>
                <w:sz w:val="24"/>
                <w:szCs w:val="24"/>
              </w:rPr>
              <w:t xml:space="preserve">формаційних </w:t>
            </w:r>
            <w:r>
              <w:rPr>
                <w:rFonts w:ascii="Times New Roman" w:eastAsia="Times New Roman" w:hAnsi="Times New Roman" w:cs="Times New Roman"/>
                <w:color w:val="000000"/>
                <w:sz w:val="24"/>
                <w:szCs w:val="24"/>
              </w:rPr>
              <w:t xml:space="preserve">технологій, засобів </w:t>
            </w:r>
            <w:r>
              <w:rPr>
                <w:rFonts w:ascii="Times New Roman" w:eastAsia="Times New Roman" w:hAnsi="Times New Roman" w:cs="Times New Roman"/>
                <w:sz w:val="24"/>
                <w:szCs w:val="24"/>
              </w:rPr>
              <w:t>штучного інтелекту</w:t>
            </w:r>
            <w:r>
              <w:rPr>
                <w:rFonts w:ascii="Times New Roman" w:eastAsia="Times New Roman" w:hAnsi="Times New Roman" w:cs="Times New Roman"/>
                <w:color w:val="000000"/>
                <w:sz w:val="24"/>
                <w:szCs w:val="24"/>
              </w:rPr>
              <w:t xml:space="preserve"> і методів для створення складних програмних систем. Випускники готові до вирішення </w:t>
            </w:r>
            <w:r>
              <w:rPr>
                <w:rFonts w:ascii="Times New Roman" w:eastAsia="Times New Roman" w:hAnsi="Times New Roman" w:cs="Times New Roman"/>
                <w:sz w:val="24"/>
                <w:szCs w:val="24"/>
              </w:rPr>
              <w:t>комплексних</w:t>
            </w:r>
            <w:r>
              <w:rPr>
                <w:rFonts w:ascii="Times New Roman" w:eastAsia="Times New Roman" w:hAnsi="Times New Roman" w:cs="Times New Roman"/>
                <w:color w:val="000000"/>
                <w:sz w:val="24"/>
                <w:szCs w:val="24"/>
              </w:rPr>
              <w:t xml:space="preserve"> спеціалізованих завдань та застосування набутих знань і навичок на практиці.</w:t>
            </w:r>
          </w:p>
          <w:p w:rsidR="00076811" w:rsidRDefault="0004391C">
            <w:pPr>
              <w:widowControl w:val="0"/>
              <w:pBdr>
                <w:top w:val="nil"/>
                <w:left w:val="nil"/>
                <w:bottom w:val="nil"/>
                <w:right w:val="nil"/>
                <w:between w:val="nil"/>
              </w:pBdr>
              <w:tabs>
                <w:tab w:val="left" w:pos="2839"/>
                <w:tab w:val="left" w:pos="4117"/>
                <w:tab w:val="left" w:pos="4892"/>
              </w:tabs>
              <w:spacing w:after="0" w:line="276" w:lineRule="auto"/>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Ключові слова: методи аналізу даних, математичне моделювання процесів та систем, аналіз даних, інформаційні систем і технології, моделювання та оптимізація еволюційних систем, технології обробки </w:t>
            </w:r>
            <w:proofErr w:type="spellStart"/>
            <w:r>
              <w:rPr>
                <w:rFonts w:ascii="Times New Roman" w:eastAsia="Times New Roman" w:hAnsi="Times New Roman" w:cs="Times New Roman"/>
                <w:color w:val="000000"/>
                <w:sz w:val="24"/>
                <w:szCs w:val="24"/>
              </w:rPr>
              <w:t>мовної</w:t>
            </w:r>
            <w:proofErr w:type="spellEnd"/>
            <w:r>
              <w:rPr>
                <w:rFonts w:ascii="Times New Roman" w:eastAsia="Times New Roman" w:hAnsi="Times New Roman" w:cs="Times New Roman"/>
                <w:color w:val="000000"/>
                <w:sz w:val="24"/>
                <w:szCs w:val="24"/>
              </w:rPr>
              <w:t xml:space="preserve"> інформації.</w:t>
            </w:r>
          </w:p>
        </w:tc>
      </w:tr>
      <w:tr w:rsidR="00076811">
        <w:trPr>
          <w:trHeight w:val="1932"/>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Особливості програми</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Особливістю освітньої складової</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даної </w:t>
            </w:r>
            <w:r>
              <w:rPr>
                <w:rFonts w:ascii="Times New Roman" w:eastAsia="Times New Roman" w:hAnsi="Times New Roman" w:cs="Times New Roman"/>
                <w:color w:val="000000"/>
                <w:sz w:val="24"/>
                <w:szCs w:val="24"/>
              </w:rPr>
              <w:t>ОНП є формування компетенцій і результатів навчання у сферах оптимізації та підтримки прийняття рішень, застосування інформаційних технологій, обґрунтованого прийняття рішень на основі етичних, патріотичних міркувань та норм авторського права. Програма забезпечує здобуття передових концептуальних і методологічних знань у галузі аналітичних, емпіричних і числових методів, психології та педагогіки вищої школи, а також інноваційних технологій у циклах розроб</w:t>
            </w:r>
            <w:r>
              <w:rPr>
                <w:rFonts w:ascii="Times New Roman" w:eastAsia="Times New Roman" w:hAnsi="Times New Roman" w:cs="Times New Roman"/>
                <w:sz w:val="24"/>
                <w:szCs w:val="24"/>
              </w:rPr>
              <w:t>ки</w:t>
            </w:r>
            <w:r>
              <w:rPr>
                <w:rFonts w:ascii="Times New Roman" w:eastAsia="Times New Roman" w:hAnsi="Times New Roman" w:cs="Times New Roman"/>
                <w:color w:val="000000"/>
                <w:sz w:val="24"/>
                <w:szCs w:val="24"/>
              </w:rPr>
              <w:t xml:space="preserve"> програмного забезпечення. Освоєння дисциплін професійного циклу відбувається в малих групах, де аспіранти поглиблено працюють над окремими складовими власних наукових досліджень під керівництвом наукових керівників. </w:t>
            </w:r>
          </w:p>
          <w:p w:rsidR="00076811" w:rsidRDefault="0004391C">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Наукова складова ОНП має багатопрофільний характер, охоплюючи напрями наукової діяльності університету та його наукових шкіл у сферах інформаційних технологій, інженерії </w:t>
            </w:r>
            <w:r>
              <w:rPr>
                <w:rFonts w:ascii="Times New Roman" w:eastAsia="Times New Roman" w:hAnsi="Times New Roman" w:cs="Times New Roman"/>
                <w:color w:val="000000"/>
                <w:sz w:val="24"/>
                <w:szCs w:val="24"/>
              </w:rPr>
              <w:lastRenderedPageBreak/>
              <w:t>програмного забезпечення, науки про дані, штучного інтелекту. Наукова складов</w:t>
            </w:r>
            <w:r>
              <w:rPr>
                <w:rFonts w:ascii="Times New Roman" w:eastAsia="Times New Roman" w:hAnsi="Times New Roman" w:cs="Times New Roman"/>
                <w:sz w:val="24"/>
                <w:szCs w:val="24"/>
              </w:rPr>
              <w:t xml:space="preserve">а активно застосовує і розвиває результати наукових напрямів провідних науковців університету, що ґрунтується на основі результатів міжнародної наукової кооперації, численних публікаціях у </w:t>
            </w:r>
            <w:proofErr w:type="spellStart"/>
            <w:r>
              <w:rPr>
                <w:rFonts w:ascii="Times New Roman" w:eastAsia="Times New Roman" w:hAnsi="Times New Roman" w:cs="Times New Roman"/>
                <w:sz w:val="24"/>
                <w:szCs w:val="24"/>
              </w:rPr>
              <w:t>високорейтингових</w:t>
            </w:r>
            <w:proofErr w:type="spellEnd"/>
            <w:r>
              <w:rPr>
                <w:rFonts w:ascii="Times New Roman" w:eastAsia="Times New Roman" w:hAnsi="Times New Roman" w:cs="Times New Roman"/>
                <w:sz w:val="24"/>
                <w:szCs w:val="24"/>
              </w:rPr>
              <w:t xml:space="preserve"> світових наукових виданнях, участі у міжнародних проєктах. Особлива увага приділяється проблемам розробки інформаційних систем для моделювання складних об'єктів та систем фізичного та цифрового світів  з урахуванням швидкозмінних вимог до методології сучасних наукових досліджень. </w:t>
            </w:r>
          </w:p>
          <w:p w:rsidR="00076811" w:rsidRDefault="0004391C">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Програма включає можливість навчання</w:t>
            </w:r>
            <w:r>
              <w:rPr>
                <w:rFonts w:ascii="Times New Roman" w:eastAsia="Times New Roman" w:hAnsi="Times New Roman" w:cs="Times New Roman"/>
                <w:sz w:val="24"/>
                <w:szCs w:val="24"/>
              </w:rPr>
              <w:t xml:space="preserve"> та наукової кооперації</w:t>
            </w:r>
            <w:r>
              <w:rPr>
                <w:rFonts w:ascii="Times New Roman" w:eastAsia="Times New Roman" w:hAnsi="Times New Roman" w:cs="Times New Roman"/>
                <w:color w:val="000000"/>
                <w:sz w:val="24"/>
                <w:szCs w:val="24"/>
              </w:rPr>
              <w:t xml:space="preserve"> за міжнародною програмою подвійних дипломів </w:t>
            </w:r>
            <w:r>
              <w:rPr>
                <w:rFonts w:ascii="Times New Roman" w:eastAsia="Times New Roman" w:hAnsi="Times New Roman" w:cs="Times New Roman"/>
                <w:sz w:val="24"/>
                <w:szCs w:val="24"/>
              </w:rPr>
              <w:t>з провідними університетами Європейського Союзу, зокрема Франції та Німеччини</w:t>
            </w:r>
            <w:r>
              <w:rPr>
                <w:rFonts w:ascii="Times New Roman" w:eastAsia="Times New Roman" w:hAnsi="Times New Roman" w:cs="Times New Roman"/>
                <w:color w:val="000000"/>
                <w:sz w:val="24"/>
                <w:szCs w:val="24"/>
              </w:rPr>
              <w:t>. Програма враховує компетентності й результати навчання, визначені Професійним стандартом для групи професій «Викладачі закладів вищої освіти».</w:t>
            </w:r>
          </w:p>
        </w:tc>
      </w:tr>
      <w:tr w:rsidR="00076811">
        <w:trPr>
          <w:trHeight w:val="275"/>
        </w:trPr>
        <w:tc>
          <w:tcPr>
            <w:tcW w:w="9525" w:type="dxa"/>
            <w:gridSpan w:val="5"/>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57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4. Придатність випускників до працевлаштування та подальшого навчання</w:t>
            </w:r>
          </w:p>
        </w:tc>
      </w:tr>
      <w:tr w:rsidR="00076811">
        <w:trPr>
          <w:trHeight w:val="827"/>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2278"/>
              </w:tabs>
              <w:spacing w:after="0" w:line="240" w:lineRule="auto"/>
              <w:ind w:left="107" w:right="9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Придатність до працевлаштування</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Випускники за спеціальністю </w:t>
            </w:r>
            <w:r>
              <w:rPr>
                <w:rFonts w:ascii="Times New Roman" w:eastAsia="Times New Roman" w:hAnsi="Times New Roman" w:cs="Times New Roman"/>
                <w:sz w:val="24"/>
                <w:szCs w:val="24"/>
              </w:rPr>
              <w:t>F2</w:t>
            </w:r>
            <w:r>
              <w:rPr>
                <w:rFonts w:ascii="Times New Roman" w:eastAsia="Times New Roman" w:hAnsi="Times New Roman" w:cs="Times New Roman"/>
                <w:color w:val="000000"/>
                <w:sz w:val="24"/>
                <w:szCs w:val="24"/>
              </w:rPr>
              <w:t xml:space="preserve"> Інженерія програмного забезпечення мають широкі можливості для розвитку кар'єри в різних напрямках, відповідно до їх особистих інтересів. Зокрема, вони можуть займатися науково-дослідною, науково-педагогічною, експертною, інноваційно-дослідницькою, організаційно-управлінською діяльністю у сфері інформаційних технологій та інженерії програмного забезпечення. Це може включати роботу в наукових установах, закладах вищої освіти, дослідницьких, </w:t>
            </w:r>
            <w:proofErr w:type="spellStart"/>
            <w:r>
              <w:rPr>
                <w:rFonts w:ascii="Times New Roman" w:eastAsia="Times New Roman" w:hAnsi="Times New Roman" w:cs="Times New Roman"/>
                <w:color w:val="000000"/>
                <w:sz w:val="24"/>
                <w:szCs w:val="24"/>
              </w:rPr>
              <w:t>проєктних</w:t>
            </w:r>
            <w:proofErr w:type="spellEnd"/>
            <w:r>
              <w:rPr>
                <w:rFonts w:ascii="Times New Roman" w:eastAsia="Times New Roman" w:hAnsi="Times New Roman" w:cs="Times New Roman"/>
                <w:color w:val="000000"/>
                <w:sz w:val="24"/>
                <w:szCs w:val="24"/>
              </w:rPr>
              <w:t xml:space="preserve"> центрах, а також у науково-дослідних  інститутах чи інших організаціях. посадах наукових і науково-педагогічних працівників в наукових установах і закладах вищої освіти; працівників найвищої кваліфікації у науково-дослідницьких та проектно- конструкторських підрозділах ІТ-підприємств. </w:t>
            </w:r>
          </w:p>
          <w:p w:rsidR="00076811" w:rsidRDefault="0004391C">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Посади, які можуть обіймати випускники, включають: професіонал із інженерії програмного забезпечення, науковий співробітник, науковий співробітник-консультант, викладач закладу освіти. Згідно з «Класифікатором професій ДК 003:2010», доступні посади є наступними: асистент (2310.2), доцент (2310.1), науковий співробітник в галузі інженерії (2149.1).</w:t>
            </w:r>
          </w:p>
        </w:tc>
      </w:tr>
      <w:tr w:rsidR="00076811">
        <w:trPr>
          <w:trHeight w:val="551"/>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Подальше навчання</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107"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Можливість навчання на другому науковому ступені наукового рівня вищої освіти (здобуття вищого наукового ступеня доктора наук) та додаткових кваліфікацій у системі освіти дорослих.</w:t>
            </w:r>
          </w:p>
        </w:tc>
      </w:tr>
      <w:tr w:rsidR="00076811">
        <w:trPr>
          <w:trHeight w:val="275"/>
        </w:trPr>
        <w:tc>
          <w:tcPr>
            <w:tcW w:w="9525" w:type="dxa"/>
            <w:gridSpan w:val="5"/>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311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 Викладання та оцінювання</w:t>
            </w:r>
          </w:p>
        </w:tc>
      </w:tr>
      <w:tr w:rsidR="00076811">
        <w:trPr>
          <w:trHeight w:val="3312"/>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2309"/>
              </w:tabs>
              <w:spacing w:before="1" w:after="0" w:line="240" w:lineRule="auto"/>
              <w:ind w:left="107" w:right="9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Викладання та навчання</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Студентоцентроване</w:t>
            </w:r>
            <w:proofErr w:type="spellEnd"/>
            <w:r>
              <w:rPr>
                <w:rFonts w:ascii="Times New Roman" w:eastAsia="Times New Roman" w:hAnsi="Times New Roman" w:cs="Times New Roman"/>
                <w:color w:val="000000"/>
                <w:sz w:val="24"/>
                <w:szCs w:val="24"/>
              </w:rPr>
              <w:t xml:space="preserve"> і проблемно-орієнтоване навчання через: </w:t>
            </w:r>
          </w:p>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застосування традиційних освітніх технологій (лекційні курси, практичні заняття, лабораторні дослідження, семінари та консультації із запланованих дисциплін, науково-педагогічна практика, екскурсії, відкриті лекції з представниками бізнесу на виробництві);</w:t>
            </w:r>
          </w:p>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використання дистанційних технологій навчання (у тому числі системи електронного навчання ТНТУ </w:t>
            </w:r>
            <w:proofErr w:type="spellStart"/>
            <w:r>
              <w:rPr>
                <w:rFonts w:ascii="Times New Roman" w:eastAsia="Times New Roman" w:hAnsi="Times New Roman" w:cs="Times New Roman"/>
                <w:color w:val="000000"/>
                <w:sz w:val="24"/>
                <w:szCs w:val="24"/>
              </w:rPr>
              <w:t>ATutor</w:t>
            </w:r>
            <w:proofErr w:type="spellEnd"/>
            <w:r>
              <w:rPr>
                <w:rFonts w:ascii="Times New Roman" w:eastAsia="Times New Roman" w:hAnsi="Times New Roman" w:cs="Times New Roman"/>
                <w:color w:val="000000"/>
                <w:sz w:val="24"/>
                <w:szCs w:val="24"/>
              </w:rPr>
              <w:t xml:space="preserve">) та електронних ресурсів видавництв </w:t>
            </w:r>
            <w:proofErr w:type="spellStart"/>
            <w:r>
              <w:rPr>
                <w:rFonts w:ascii="Times New Roman" w:eastAsia="Times New Roman" w:hAnsi="Times New Roman" w:cs="Times New Roman"/>
                <w:color w:val="000000"/>
                <w:sz w:val="24"/>
                <w:szCs w:val="24"/>
              </w:rPr>
              <w:t>Elsevier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Springer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Wiley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World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Scientific</w:t>
            </w:r>
            <w:proofErr w:type="spellEnd"/>
            <w:r>
              <w:rPr>
                <w:rFonts w:ascii="Times New Roman" w:eastAsia="Times New Roman" w:hAnsi="Times New Roman" w:cs="Times New Roman"/>
                <w:color w:val="000000"/>
                <w:sz w:val="24"/>
                <w:szCs w:val="24"/>
              </w:rPr>
              <w:t>;</w:t>
            </w:r>
          </w:p>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спільну навчальну та наукову робота аспірантів різних років шляхом вивчення наукової тематики своїх наукових керівників;</w:t>
            </w:r>
          </w:p>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поєднанням індивідуальних консультацій викладачів університету та інших профільних закладів вищої освіти, включаючи докторантів, більш досвідчених аспірантів та технічних працівників;</w:t>
            </w:r>
          </w:p>
        </w:tc>
      </w:tr>
      <w:tr w:rsidR="00076811">
        <w:trPr>
          <w:trHeight w:val="1658"/>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before="1"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Оцінювання</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Освітня складова програми</w:t>
            </w:r>
            <w:r>
              <w:rPr>
                <w:rFonts w:ascii="Times New Roman" w:eastAsia="Times New Roman" w:hAnsi="Times New Roman" w:cs="Times New Roman"/>
                <w:color w:val="000000"/>
                <w:sz w:val="24"/>
                <w:szCs w:val="24"/>
              </w:rPr>
              <w:t xml:space="preserve">. Оцінювання успішності навчання здобувачів вищої освіти здійснюється за 100-бальною (рейтинговою) системою (НРС), які при переводі відповідають результатам за національною шкалою («відмінно», «добре», «задовільно», «незадовільно») та шкалою Європейської кредитної </w:t>
            </w:r>
            <w:proofErr w:type="spellStart"/>
            <w:r>
              <w:rPr>
                <w:rFonts w:ascii="Times New Roman" w:eastAsia="Times New Roman" w:hAnsi="Times New Roman" w:cs="Times New Roman"/>
                <w:color w:val="000000"/>
                <w:sz w:val="24"/>
                <w:szCs w:val="24"/>
              </w:rPr>
              <w:t>трансферно</w:t>
            </w:r>
            <w:proofErr w:type="spellEnd"/>
            <w:r>
              <w:rPr>
                <w:rFonts w:ascii="Times New Roman" w:eastAsia="Times New Roman" w:hAnsi="Times New Roman" w:cs="Times New Roman"/>
                <w:color w:val="000000"/>
                <w:sz w:val="24"/>
                <w:szCs w:val="24"/>
              </w:rPr>
              <w:t>-накопичувальної системи (ЄКТС – А, B, C, D, E, FХ, F).</w:t>
            </w:r>
          </w:p>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освітньому процесі університету використовуються попередній (нульовий, вхідний), поточний (оперативний, рубіжний), підсумковий (семестровий, атестація) та відтермінований рівні контролю, суть та форма яких регламентується Положенням про організацію освітнього процесу в Тернопільському національному технічному університеті імені Івана Пулюя. </w:t>
            </w:r>
          </w:p>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Форми та порядок проведення семестрового контролю з навчальної дисципліни та інших компонент навчального плану регламентується Положенням про підсумковий семестровий контроль результатів навчання студентів Тернопільського національного технічного університету імені Івана Пулюя. Підсумкова оцінка з навчальної дисципліни та інших компонент навчального плану складається з суми оцінок за результатами навчання упродовж семестру (підсумкова семестрова модульна рейтингова оцінка – максимум 75 балів) та результатів підсумкового контролю (екзаменаційна/залікова рейтингова оцінка – максимум 25 балів). </w:t>
            </w:r>
          </w:p>
          <w:p w:rsidR="00076811" w:rsidRDefault="0004391C">
            <w:pPr>
              <w:widowControl w:val="0"/>
              <w:pBdr>
                <w:top w:val="nil"/>
                <w:left w:val="nil"/>
                <w:bottom w:val="nil"/>
                <w:right w:val="nil"/>
                <w:between w:val="nil"/>
              </w:pBdr>
              <w:spacing w:after="0" w:line="276" w:lineRule="auto"/>
              <w:ind w:left="87"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Наукова складова програми полягає у</w:t>
            </w:r>
            <w:r>
              <w:rPr>
                <w:rFonts w:ascii="Times New Roman" w:eastAsia="Times New Roman" w:hAnsi="Times New Roman" w:cs="Times New Roman"/>
                <w:color w:val="000000"/>
                <w:sz w:val="24"/>
                <w:szCs w:val="24"/>
              </w:rPr>
              <w:t>:</w:t>
            </w:r>
          </w:p>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виконанні досліджень та написання наукових текстів та підготовці публікацій, виступи на наукових конференціях;</w:t>
            </w:r>
          </w:p>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підготовці публікацій у фахових виданнях України віднесених до категорій “А” та “Б”, а також міжнародних виданнях, індексованих </w:t>
            </w:r>
            <w:proofErr w:type="spellStart"/>
            <w:r>
              <w:rPr>
                <w:rFonts w:ascii="Times New Roman" w:eastAsia="Times New Roman" w:hAnsi="Times New Roman" w:cs="Times New Roman"/>
                <w:color w:val="000000"/>
                <w:sz w:val="24"/>
                <w:szCs w:val="24"/>
              </w:rPr>
              <w:t>наукометричними</w:t>
            </w:r>
            <w:proofErr w:type="spellEnd"/>
            <w:r>
              <w:rPr>
                <w:rFonts w:ascii="Times New Roman" w:eastAsia="Times New Roman" w:hAnsi="Times New Roman" w:cs="Times New Roman"/>
                <w:color w:val="000000"/>
                <w:sz w:val="24"/>
                <w:szCs w:val="24"/>
              </w:rPr>
              <w:t xml:space="preserve"> базами Scopus/</w:t>
            </w:r>
            <w:r>
              <w:rPr>
                <w:color w:val="000000"/>
              </w:rPr>
              <w:t xml:space="preserve"> </w:t>
            </w:r>
            <w:proofErr w:type="spellStart"/>
            <w:r>
              <w:rPr>
                <w:rFonts w:ascii="Times New Roman" w:eastAsia="Times New Roman" w:hAnsi="Times New Roman" w:cs="Times New Roman"/>
                <w:color w:val="000000"/>
                <w:sz w:val="24"/>
                <w:szCs w:val="24"/>
              </w:rPr>
              <w:t>Web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Collection</w:t>
            </w:r>
            <w:proofErr w:type="spellEnd"/>
            <w:r>
              <w:rPr>
                <w:rFonts w:ascii="Times New Roman" w:eastAsia="Times New Roman" w:hAnsi="Times New Roman" w:cs="Times New Roman"/>
                <w:color w:val="000000"/>
                <w:sz w:val="24"/>
                <w:szCs w:val="24"/>
              </w:rPr>
              <w:t>;</w:t>
            </w:r>
          </w:p>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самостійній роботу з інформаційними джерелами у бібліотеці </w:t>
            </w:r>
            <w:r>
              <w:rPr>
                <w:rFonts w:ascii="Times New Roman" w:eastAsia="Times New Roman" w:hAnsi="Times New Roman" w:cs="Times New Roman"/>
                <w:color w:val="000000"/>
                <w:sz w:val="24"/>
                <w:szCs w:val="24"/>
              </w:rPr>
              <w:lastRenderedPageBreak/>
              <w:t>університету та у наукових бібліотеках України;</w:t>
            </w:r>
          </w:p>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участі у спеціально розроблених курсах, пов’язаних із науковою діяльністю, у курсах індивідуального вибору, в конкурсах на отримання наукових стипендій і грантів, у підготовці звітних матеріалів, реєстраційних та облікових документів, оформленні документів на право інтелектуальної власності;</w:t>
            </w:r>
          </w:p>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залученні до участі в спеціалізованих семінарах, обговореннях за фахом;</w:t>
            </w:r>
          </w:p>
          <w:p w:rsidR="00076811" w:rsidRDefault="0004391C">
            <w:pPr>
              <w:widowControl w:val="0"/>
              <w:pBdr>
                <w:top w:val="nil"/>
                <w:left w:val="nil"/>
                <w:bottom w:val="nil"/>
                <w:right w:val="nil"/>
                <w:between w:val="nil"/>
              </w:pBdr>
              <w:spacing w:after="0" w:line="276" w:lineRule="auto"/>
              <w:ind w:left="87"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роботі у складі про</w:t>
            </w:r>
            <w:r>
              <w:rPr>
                <w:rFonts w:ascii="Times New Roman" w:eastAsia="Times New Roman" w:hAnsi="Times New Roman" w:cs="Times New Roman"/>
                <w:sz w:val="24"/>
                <w:szCs w:val="24"/>
              </w:rPr>
              <w:t>е</w:t>
            </w:r>
            <w:r>
              <w:rPr>
                <w:rFonts w:ascii="Times New Roman" w:eastAsia="Times New Roman" w:hAnsi="Times New Roman" w:cs="Times New Roman"/>
                <w:color w:val="000000"/>
                <w:sz w:val="24"/>
                <w:szCs w:val="24"/>
              </w:rPr>
              <w:t xml:space="preserve">ктних команд при виконанні держбюджетних, кафедральних (ініціативних) та господарсько-договірних тем; </w:t>
            </w:r>
          </w:p>
          <w:p w:rsidR="00076811" w:rsidRDefault="0004391C">
            <w:pPr>
              <w:widowControl w:val="0"/>
              <w:pBdr>
                <w:top w:val="nil"/>
                <w:left w:val="nil"/>
                <w:bottom w:val="nil"/>
                <w:right w:val="nil"/>
                <w:between w:val="nil"/>
              </w:pBdr>
              <w:spacing w:after="0" w:line="276" w:lineRule="auto"/>
              <w:ind w:left="87"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атестації.</w:t>
            </w:r>
          </w:p>
          <w:p w:rsidR="00076811" w:rsidRDefault="0004391C">
            <w:pPr>
              <w:widowControl w:val="0"/>
              <w:pBdr>
                <w:top w:val="nil"/>
                <w:left w:val="nil"/>
                <w:bottom w:val="nil"/>
                <w:right w:val="nil"/>
                <w:between w:val="nil"/>
              </w:pBdr>
              <w:spacing w:after="0" w:line="276" w:lineRule="auto"/>
              <w:ind w:left="87"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Оцінювання наукової діяльності здобувачів здійснюється на основі кількісних і якісних показників відповідно до індивідуального плану наукових досліджень аспіранта через: участь у семінарах кафедри, конференціях; реферування наукових праць, урахування підготовлених та опублікованих статей і отриманих патентів; мультимедійних презентацій результатів дисертаційного дослідження на наукових семінарах; підготовку та презентацію дисертаційної роботи; відгук наукового керівника та висновок випускової кафедри.</w:t>
            </w:r>
          </w:p>
        </w:tc>
      </w:tr>
      <w:tr w:rsidR="00076811">
        <w:trPr>
          <w:trHeight w:val="275"/>
        </w:trPr>
        <w:tc>
          <w:tcPr>
            <w:tcW w:w="9525" w:type="dxa"/>
            <w:gridSpan w:val="5"/>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314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6. Програмні компетентності</w:t>
            </w:r>
          </w:p>
        </w:tc>
      </w:tr>
      <w:tr w:rsidR="00076811">
        <w:trPr>
          <w:trHeight w:val="827"/>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ind w:left="107" w:right="5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Інтегральна компетентність</w:t>
            </w:r>
          </w:p>
        </w:tc>
        <w:tc>
          <w:tcPr>
            <w:tcW w:w="6896"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Здатність продукувати нові ідеї, розв'язувати комплексні проблеми професійної та/або дослідницько-інноваційної діяльності у сфері інженерії програмного забезпечення та з дотичних до неї міждисциплінарних напрямах, застосовувати методологію наукової та педагогічної діяльності, проводити власне наукове дослідження, результати якого мають наукову новизну, теоретичне та практичне значення.</w:t>
            </w:r>
          </w:p>
        </w:tc>
      </w:tr>
      <w:tr w:rsidR="00076811">
        <w:trPr>
          <w:cantSplit/>
          <w:trHeight w:val="709"/>
        </w:trPr>
        <w:tc>
          <w:tcPr>
            <w:tcW w:w="2629" w:type="dxa"/>
            <w:gridSpan w:val="2"/>
            <w:vMerge w:val="restart"/>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before="1" w:after="0" w:line="240" w:lineRule="auto"/>
              <w:ind w:left="107" w:right="40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Загальні компетентності (ЗК)</w:t>
            </w: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40" w:lineRule="auto"/>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 1</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Здатність до пошуку, оброблення та аналізу інформації з різних джерел.</w:t>
            </w:r>
          </w:p>
        </w:tc>
      </w:tr>
      <w:tr w:rsidR="00076811">
        <w:trPr>
          <w:cantSplit/>
          <w:trHeight w:val="707"/>
        </w:trPr>
        <w:tc>
          <w:tcPr>
            <w:tcW w:w="2629" w:type="dxa"/>
            <w:gridSpan w:val="2"/>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40" w:lineRule="auto"/>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 2</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Здатність розв’язувати комплексні проблеми у сфері інженерії програмного забезпечення та з дотичних до неї міждисциплінарних напрямах на основі системного наукового світогляду та загального культурного кругозору із дотриманням принципів професійної етики та академічної доброчесності.</w:t>
            </w:r>
          </w:p>
        </w:tc>
      </w:tr>
      <w:tr w:rsidR="00076811">
        <w:trPr>
          <w:cantSplit/>
          <w:trHeight w:val="468"/>
        </w:trPr>
        <w:tc>
          <w:tcPr>
            <w:tcW w:w="2629" w:type="dxa"/>
            <w:gridSpan w:val="2"/>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40" w:lineRule="auto"/>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 3</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Здатність працювати в міжнародному контексті.</w:t>
            </w:r>
          </w:p>
        </w:tc>
      </w:tr>
      <w:tr w:rsidR="00076811">
        <w:trPr>
          <w:cantSplit/>
          <w:trHeight w:val="707"/>
        </w:trPr>
        <w:tc>
          <w:tcPr>
            <w:tcW w:w="2629" w:type="dxa"/>
            <w:gridSpan w:val="2"/>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40" w:lineRule="auto"/>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 4</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Здатність презентувати ідеї, інноваційні розробки і результати досліджень як в науковій так і в професійній спільноті.</w:t>
            </w:r>
          </w:p>
        </w:tc>
      </w:tr>
      <w:tr w:rsidR="00076811">
        <w:trPr>
          <w:cantSplit/>
          <w:trHeight w:val="359"/>
        </w:trPr>
        <w:tc>
          <w:tcPr>
            <w:tcW w:w="2629" w:type="dxa"/>
            <w:gridSpan w:val="2"/>
            <w:vMerge w:val="restart"/>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ind w:left="107" w:right="9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Фахові компетентності спеціальності (ФК)</w:t>
            </w: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40" w:lineRule="auto"/>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 1</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Здатність інтегрувати знання з різних галузей, застосовувати системний підхід та враховувати нетехнічні аспекти при розв’язанні комплексних проблем інженерії програмного забезпечення й проведенні досліджень.</w:t>
            </w:r>
          </w:p>
        </w:tc>
      </w:tr>
      <w:tr w:rsidR="00076811">
        <w:trPr>
          <w:cantSplit/>
          <w:trHeight w:val="1218"/>
        </w:trPr>
        <w:tc>
          <w:tcPr>
            <w:tcW w:w="2629" w:type="dxa"/>
            <w:gridSpan w:val="2"/>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40" w:lineRule="auto"/>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 2</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Здатність виявляти, ставити та вирішувати проблеми дослідницького характеру в сфері інженерії програмного забезпечення, оцінювати та забезпечувати якість виконуваних досліджень.</w:t>
            </w:r>
          </w:p>
        </w:tc>
      </w:tr>
      <w:tr w:rsidR="00076811">
        <w:trPr>
          <w:cantSplit/>
          <w:trHeight w:val="353"/>
        </w:trPr>
        <w:tc>
          <w:tcPr>
            <w:tcW w:w="2629" w:type="dxa"/>
            <w:gridSpan w:val="2"/>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40" w:lineRule="auto"/>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 3</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Здатність отримувати нові наукові результати, які створюють нові знання та становлять оригінальний внесок у розвиток інженерії програмного забезпечення та дотичних до неї міждисциплінарних напрямів.</w:t>
            </w:r>
          </w:p>
        </w:tc>
      </w:tr>
      <w:tr w:rsidR="00076811">
        <w:trPr>
          <w:cantSplit/>
          <w:trHeight w:val="353"/>
        </w:trPr>
        <w:tc>
          <w:tcPr>
            <w:tcW w:w="2629" w:type="dxa"/>
            <w:gridSpan w:val="2"/>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40" w:lineRule="auto"/>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 4</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Здатність відстежувати тенденції розвитку інженерії програмного забезпечення та критично переосмислювати наявні технології.</w:t>
            </w:r>
          </w:p>
        </w:tc>
      </w:tr>
      <w:tr w:rsidR="00076811">
        <w:trPr>
          <w:cantSplit/>
          <w:trHeight w:val="353"/>
        </w:trPr>
        <w:tc>
          <w:tcPr>
            <w:tcW w:w="2629" w:type="dxa"/>
            <w:gridSpan w:val="2"/>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963"/>
                <w:tab w:val="left" w:pos="1985"/>
                <w:tab w:val="left" w:pos="3206"/>
                <w:tab w:val="left" w:pos="4621"/>
                <w:tab w:val="left" w:pos="5871"/>
              </w:tabs>
              <w:spacing w:after="0"/>
              <w:ind w:left="113"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 5</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Здатність до розроблення нових та вдосконалення існуючих моделей, методів, засобів, процесів у сфері інженерії програмного забезпечення, які забезпечують розвиток або надають нові можливості технологіям розробки та супроводження програмного забезпечення.</w:t>
            </w:r>
          </w:p>
        </w:tc>
      </w:tr>
      <w:tr w:rsidR="00076811">
        <w:trPr>
          <w:cantSplit/>
          <w:trHeight w:val="353"/>
        </w:trPr>
        <w:tc>
          <w:tcPr>
            <w:tcW w:w="2629" w:type="dxa"/>
            <w:gridSpan w:val="2"/>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963"/>
                <w:tab w:val="left" w:pos="1985"/>
                <w:tab w:val="left" w:pos="3206"/>
                <w:tab w:val="left" w:pos="4621"/>
                <w:tab w:val="left" w:pos="5871"/>
              </w:tabs>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 6</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Здатність до застосування сучасних </w:t>
            </w:r>
            <w:proofErr w:type="spellStart"/>
            <w:r>
              <w:rPr>
                <w:rFonts w:ascii="Times New Roman" w:eastAsia="Times New Roman" w:hAnsi="Times New Roman" w:cs="Times New Roman"/>
                <w:color w:val="000000"/>
                <w:sz w:val="24"/>
                <w:szCs w:val="24"/>
              </w:rPr>
              <w:t>методологій</w:t>
            </w:r>
            <w:proofErr w:type="spellEnd"/>
            <w:r>
              <w:rPr>
                <w:rFonts w:ascii="Times New Roman" w:eastAsia="Times New Roman" w:hAnsi="Times New Roman" w:cs="Times New Roman"/>
                <w:color w:val="000000"/>
                <w:sz w:val="24"/>
                <w:szCs w:val="24"/>
              </w:rPr>
              <w:t>, методів та інструментів інженерії програмного забезпечення в науково-педагогічній та науковій діяльності</w:t>
            </w:r>
          </w:p>
        </w:tc>
      </w:tr>
      <w:tr w:rsidR="00076811">
        <w:trPr>
          <w:cantSplit/>
          <w:trHeight w:val="353"/>
        </w:trPr>
        <w:tc>
          <w:tcPr>
            <w:tcW w:w="2629" w:type="dxa"/>
            <w:gridSpan w:val="2"/>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963"/>
                <w:tab w:val="left" w:pos="1985"/>
                <w:tab w:val="left" w:pos="3206"/>
                <w:tab w:val="left" w:pos="4621"/>
                <w:tab w:val="left" w:pos="5871"/>
              </w:tabs>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 7</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Здатність ініціювати, розробляти та реалізовувати дослідницькі та інноваційні проєкти у сфері інженерії програмного забезпечення, планувати й організовувати роботу дослідницьких колективів.</w:t>
            </w:r>
          </w:p>
        </w:tc>
      </w:tr>
      <w:tr w:rsidR="00076811">
        <w:trPr>
          <w:cantSplit/>
          <w:trHeight w:val="353"/>
        </w:trPr>
        <w:tc>
          <w:tcPr>
            <w:tcW w:w="2629" w:type="dxa"/>
            <w:gridSpan w:val="2"/>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963"/>
                <w:tab w:val="left" w:pos="1985"/>
                <w:tab w:val="left" w:pos="3206"/>
                <w:tab w:val="left" w:pos="4621"/>
                <w:tab w:val="left" w:pos="5871"/>
              </w:tabs>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 8</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Здатність здійснювати та організовувати науково- педагогічну діяльність у закладах вищої освіти.</w:t>
            </w:r>
          </w:p>
        </w:tc>
      </w:tr>
      <w:tr w:rsidR="00076811">
        <w:trPr>
          <w:cantSplit/>
          <w:trHeight w:val="542"/>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963"/>
                <w:tab w:val="left" w:pos="1985"/>
                <w:tab w:val="left" w:pos="3206"/>
                <w:tab w:val="left" w:pos="4621"/>
                <w:tab w:val="left" w:pos="5871"/>
              </w:tabs>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ФК 9*</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Здатність до розробки інформаційних систем з урахуванням швидкозмінних вимог до методології сучасних наукових досліджень.</w:t>
            </w:r>
          </w:p>
        </w:tc>
      </w:tr>
      <w:tr w:rsidR="00076811">
        <w:trPr>
          <w:cantSplit/>
          <w:trHeight w:val="542"/>
        </w:trPr>
        <w:tc>
          <w:tcPr>
            <w:tcW w:w="2629" w:type="dxa"/>
            <w:gridSpan w:val="2"/>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29"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tabs>
                <w:tab w:val="left" w:pos="963"/>
                <w:tab w:val="left" w:pos="1985"/>
                <w:tab w:val="left" w:pos="3206"/>
                <w:tab w:val="left" w:pos="4621"/>
                <w:tab w:val="left" w:pos="5871"/>
              </w:tabs>
              <w:spacing w:after="0"/>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ФК 10*</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Здатність керувати дослідницькою роботою здобувачів ВО (бакалаврський, магістерський рівні)</w:t>
            </w:r>
          </w:p>
        </w:tc>
      </w:tr>
      <w:tr w:rsidR="00076811">
        <w:trPr>
          <w:trHeight w:val="275"/>
        </w:trPr>
        <w:tc>
          <w:tcPr>
            <w:tcW w:w="9525" w:type="dxa"/>
            <w:gridSpan w:val="5"/>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290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 Програмні результати навчання</w:t>
            </w:r>
          </w:p>
        </w:tc>
      </w:tr>
      <w:tr w:rsidR="00076811">
        <w:trPr>
          <w:cantSplit/>
          <w:trHeight w:val="202"/>
        </w:trPr>
        <w:tc>
          <w:tcPr>
            <w:tcW w:w="2586" w:type="dxa"/>
            <w:vMerge w:val="restart"/>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1403"/>
              </w:tabs>
              <w:spacing w:after="0" w:line="240" w:lineRule="auto"/>
              <w:ind w:left="107" w:right="10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Програмні результати    </w:t>
            </w:r>
          </w:p>
          <w:p w:rsidR="00076811" w:rsidRDefault="0004391C">
            <w:pPr>
              <w:widowControl w:val="0"/>
              <w:pBdr>
                <w:top w:val="nil"/>
                <w:left w:val="nil"/>
                <w:bottom w:val="nil"/>
                <w:right w:val="nil"/>
                <w:between w:val="nil"/>
              </w:pBdr>
              <w:tabs>
                <w:tab w:val="left" w:pos="1403"/>
              </w:tabs>
              <w:spacing w:after="0" w:line="240" w:lineRule="auto"/>
              <w:ind w:left="107" w:right="10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навчання (ПРН)</w:t>
            </w: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ПРН 1</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Мати передові концептуальні та методологічні знання з інженерії програмного забезпечення та дотичних до неї міждисциплінарних напрямів, а також дослідницькі навички, достатні для проведення наукових і прикладних досліджень на рівні останніх світових досягнень з відповідного напряму, отримання нових знань та/або здійснення інновацій.</w:t>
            </w:r>
          </w:p>
        </w:tc>
      </w:tr>
      <w:tr w:rsidR="00076811">
        <w:trPr>
          <w:cantSplit/>
          <w:trHeight w:val="196"/>
        </w:trPr>
        <w:tc>
          <w:tcPr>
            <w:tcW w:w="2586" w:type="dxa"/>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ПРН 2</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Планувати і виконувати експериментальні та/або теоретичні дослідження з інженерії програмного забезпечення та дотичних міждисциплінарних напрямів з використанням сучасних інструментів та дотриманням норм академічної і професійної етики, критично аналізувати результати власних досліджень і результати інших дослідників у контексті усього комплексу сучасних знань щодо досліджуваної проблеми.</w:t>
            </w:r>
          </w:p>
        </w:tc>
      </w:tr>
      <w:tr w:rsidR="00076811">
        <w:trPr>
          <w:cantSplit/>
          <w:trHeight w:val="196"/>
        </w:trPr>
        <w:tc>
          <w:tcPr>
            <w:tcW w:w="2586" w:type="dxa"/>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ПРН 3</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Пропонувати нові ефективні методи і моделі розроблення, впровадження, супроводу та забезпечення якості програмного забезпечення та управління відповідними процесами на всіх етапах життєвого циклу.</w:t>
            </w:r>
          </w:p>
        </w:tc>
      </w:tr>
      <w:tr w:rsidR="00076811">
        <w:trPr>
          <w:cantSplit/>
          <w:trHeight w:val="196"/>
        </w:trPr>
        <w:tc>
          <w:tcPr>
            <w:tcW w:w="2586" w:type="dxa"/>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ПРН 4</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Вільно презентувати та обговорювати з фахівцями і не фахівцями результати досліджень, наукові та прикладні проблеми інженерії програмного забезпечення державною та іноземною мовами, оприлюднювати результати досліджень у наукових публікаціях у провідних наукових виданнях.</w:t>
            </w:r>
          </w:p>
        </w:tc>
      </w:tr>
      <w:tr w:rsidR="00076811">
        <w:trPr>
          <w:cantSplit/>
          <w:trHeight w:val="196"/>
        </w:trPr>
        <w:tc>
          <w:tcPr>
            <w:tcW w:w="2586" w:type="dxa"/>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ПРН 5</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Застосовувати сучасні інструменти і технології пошуку, оброблення та аналізу інформації, зокрема, статистичні методи аналізу даних великого обсягу та/або складної структури, спеціалізовані бази даних та інформаційні системи для покращення ефективності програмних систем.</w:t>
            </w:r>
          </w:p>
        </w:tc>
      </w:tr>
      <w:tr w:rsidR="00076811">
        <w:trPr>
          <w:cantSplit/>
          <w:trHeight w:val="196"/>
        </w:trPr>
        <w:tc>
          <w:tcPr>
            <w:tcW w:w="2586" w:type="dxa"/>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ПРН 6</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Формулювати і перевіряти гіпотези; використовувати для обґрунтування висновків належні докази, зокрема, результати теоретичного аналізу, експериментальних досліджень і математичного та/або комп’ютерного моделювання, наявні літературні дані.</w:t>
            </w:r>
          </w:p>
        </w:tc>
      </w:tr>
      <w:tr w:rsidR="00076811">
        <w:trPr>
          <w:cantSplit/>
          <w:trHeight w:val="196"/>
        </w:trPr>
        <w:tc>
          <w:tcPr>
            <w:tcW w:w="2586" w:type="dxa"/>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ПРН 7</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Розробляти та досліджувати концептуальні, математичні і комп’ютерні моделі процесів і систем для отримання нових знань та/або створення інноваційних продуктів у інженерії програмного забезпечення та дотичних міждисциплінарних напрямах.</w:t>
            </w:r>
          </w:p>
        </w:tc>
      </w:tr>
      <w:tr w:rsidR="00076811">
        <w:trPr>
          <w:cantSplit/>
          <w:trHeight w:val="196"/>
        </w:trPr>
        <w:tc>
          <w:tcPr>
            <w:tcW w:w="2586" w:type="dxa"/>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ПРН 8</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Глибоко розуміти загальні принципи та методи інженерії програмного забезпечення, а також методологію наукових досліджень, застосовувати їх у власних дослідженнях та у викладацькій практиці.</w:t>
            </w:r>
          </w:p>
        </w:tc>
      </w:tr>
      <w:tr w:rsidR="00076811">
        <w:trPr>
          <w:cantSplit/>
          <w:trHeight w:val="196"/>
        </w:trPr>
        <w:tc>
          <w:tcPr>
            <w:tcW w:w="2586" w:type="dxa"/>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ПРН 9</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Формулювати та вирішувати задачі оптимізації, адаптації, прогнозування, керування та прийняття рішень щодо процесів, засобів та ресурсів розробки, впровадження, супроводу та експлуатації програмного забезпечення.</w:t>
            </w:r>
          </w:p>
        </w:tc>
      </w:tr>
      <w:tr w:rsidR="00076811">
        <w:trPr>
          <w:cantSplit/>
          <w:trHeight w:val="196"/>
        </w:trPr>
        <w:tc>
          <w:tcPr>
            <w:tcW w:w="2586" w:type="dxa"/>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ПРН 10</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Аналізувати та оцінювати стан і перспективи розвитку інженерії програмного забезпечення та інформаційних технологій у цілому.</w:t>
            </w:r>
          </w:p>
        </w:tc>
      </w:tr>
      <w:tr w:rsidR="00076811">
        <w:trPr>
          <w:cantSplit/>
          <w:trHeight w:val="196"/>
        </w:trPr>
        <w:tc>
          <w:tcPr>
            <w:tcW w:w="2586" w:type="dxa"/>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ПРН 11</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Розробляти та реалізовувати наукові та/або інноваційні ІТ-проєкти, які дають змогу переосмислити наявне та створити нове цілісне знання та/або професійну практику і розв’язувати значущі наукові та прикладні проблеми інженерії програмного забезпечення з дотриманням норм академічної етики і </w:t>
            </w:r>
            <w:r>
              <w:rPr>
                <w:rFonts w:ascii="Times New Roman" w:eastAsia="Times New Roman" w:hAnsi="Times New Roman" w:cs="Times New Roman"/>
                <w:sz w:val="24"/>
                <w:szCs w:val="24"/>
              </w:rPr>
              <w:t>урахуванням</w:t>
            </w:r>
            <w:r>
              <w:rPr>
                <w:rFonts w:ascii="Times New Roman" w:eastAsia="Times New Roman" w:hAnsi="Times New Roman" w:cs="Times New Roman"/>
                <w:color w:val="000000"/>
                <w:sz w:val="24"/>
                <w:szCs w:val="24"/>
              </w:rPr>
              <w:t xml:space="preserve"> соціальних, економічних та правових аспектів.</w:t>
            </w:r>
          </w:p>
        </w:tc>
      </w:tr>
      <w:tr w:rsidR="00076811">
        <w:trPr>
          <w:cantSplit/>
          <w:trHeight w:val="196"/>
        </w:trPr>
        <w:tc>
          <w:tcPr>
            <w:tcW w:w="2586" w:type="dxa"/>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ПРН 12</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Забезпечувати захист інтелектуальної власності у сфері інженерії програмного забезпечення. </w:t>
            </w:r>
          </w:p>
        </w:tc>
      </w:tr>
      <w:tr w:rsidR="00076811">
        <w:trPr>
          <w:cantSplit/>
          <w:trHeight w:val="196"/>
        </w:trPr>
        <w:tc>
          <w:tcPr>
            <w:tcW w:w="2586" w:type="dxa"/>
            <w:vMerge/>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ПРН 13</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Організовувати і здійснювати освітній процес у сфері інженерії програмного забезпечення, його наукове, навчально-методичне та нормативне забезпечення, розробляти і викладати спеціальні навчальні дисципліни у закладах вищої освіти.</w:t>
            </w:r>
          </w:p>
        </w:tc>
      </w:tr>
      <w:tr w:rsidR="00076811">
        <w:trPr>
          <w:cantSplit/>
          <w:trHeight w:val="196"/>
        </w:trPr>
        <w:tc>
          <w:tcPr>
            <w:tcW w:w="2586" w:type="dxa"/>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ПРН 14*</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Враховувати швидкозмінність вимог з урахуванням наукової складової при розробці інформаційних систем для моделювання складних об'єктів та систем фізичного та цифрового світів.</w:t>
            </w:r>
          </w:p>
        </w:tc>
      </w:tr>
      <w:tr w:rsidR="00076811">
        <w:trPr>
          <w:cantSplit/>
          <w:trHeight w:val="196"/>
        </w:trPr>
        <w:tc>
          <w:tcPr>
            <w:tcW w:w="2586" w:type="dxa"/>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72"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10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ПРН 15*</w:t>
            </w:r>
          </w:p>
        </w:tc>
        <w:tc>
          <w:tcPr>
            <w:tcW w:w="5567" w:type="dxa"/>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76"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Організовувати дослідницьку роботу здобувачів першого та другого освітнього рівня інженерії програмного забезпечення.</w:t>
            </w:r>
          </w:p>
        </w:tc>
      </w:tr>
      <w:tr w:rsidR="00076811">
        <w:trPr>
          <w:trHeight w:val="278"/>
        </w:trPr>
        <w:tc>
          <w:tcPr>
            <w:tcW w:w="9525" w:type="dxa"/>
            <w:gridSpan w:val="5"/>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before="1" w:after="0"/>
              <w:ind w:left="234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 Ресурсне забезпечення реалізації програми</w:t>
            </w:r>
          </w:p>
        </w:tc>
      </w:tr>
      <w:tr w:rsidR="00076811">
        <w:trPr>
          <w:trHeight w:val="379"/>
        </w:trPr>
        <w:tc>
          <w:tcPr>
            <w:tcW w:w="2658"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Кадрове забезпечення</w:t>
            </w:r>
          </w:p>
        </w:tc>
        <w:tc>
          <w:tcPr>
            <w:tcW w:w="6867"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107" w:right="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Відповідно до кадрових вимог щодо забезпечення провадження освітньої діяльності для відповідного рівня вищої освіти, затверджених Постановою Кабінету Міністрів України від 30.12.2015 № 1187 (в редакції постанови КМУ від 24.04.2021 №365). До освітнього процесу та наукового керівництва аспірантами залучені висококваліфіковані професіонали-практики та фахівці галузі (з 2-х кафедр університету) з досвідом дослідницької, управлінської, інноваційної, творчої та фахової роботи та мають публікації відповідно до профілю і напряму дисциплін, що викладаються, тематики дисертаційних досліджень аспірантів, а також мають високий рівень наукової і професійної активності та працюють в університеті на постійній основі. Серед наукових керівників аспірантами 33,3% (2) є докторами технічних наук, професорами, а 16,7% (1) є доктором фізико-математичних наук, професором. Решта наукових керівників аспірантами 33,3% (2) є кандидатами технічних наук, доцентами, а 16,7% (1) є кандидатом фізико-математичних наук, доцентом. Частина наукових керівників отримали сертифікати про рівень володіння іноземною мовою (В2); </w:t>
            </w:r>
            <w:r>
              <w:rPr>
                <w:rFonts w:ascii="Times New Roman" w:eastAsia="Times New Roman" w:hAnsi="Times New Roman" w:cs="Times New Roman"/>
                <w:sz w:val="24"/>
                <w:szCs w:val="24"/>
              </w:rPr>
              <w:t>всі</w:t>
            </w:r>
            <w:r>
              <w:rPr>
                <w:rFonts w:ascii="Times New Roman" w:eastAsia="Times New Roman" w:hAnsi="Times New Roman" w:cs="Times New Roman"/>
                <w:color w:val="000000"/>
                <w:sz w:val="24"/>
                <w:szCs w:val="24"/>
              </w:rPr>
              <w:t xml:space="preserve"> пройшли науково-педагогічні стажування на Україні та закордоном; керували науковим стажуванням викладачів ЗВО України; брали участь </w:t>
            </w:r>
            <w:r>
              <w:rPr>
                <w:rFonts w:ascii="Times New Roman" w:eastAsia="Times New Roman" w:hAnsi="Times New Roman" w:cs="Times New Roman"/>
                <w:color w:val="000000"/>
                <w:sz w:val="24"/>
                <w:szCs w:val="24"/>
              </w:rPr>
              <w:lastRenderedPageBreak/>
              <w:t>у виконанні міжнародних наукових та освітніх проєктів. Викладачі освітніх компонент за О</w:t>
            </w:r>
            <w:r>
              <w:rPr>
                <w:rFonts w:ascii="Times New Roman" w:eastAsia="Times New Roman" w:hAnsi="Times New Roman" w:cs="Times New Roman"/>
                <w:sz w:val="24"/>
                <w:szCs w:val="24"/>
              </w:rPr>
              <w:t>Н</w:t>
            </w:r>
            <w:r>
              <w:rPr>
                <w:rFonts w:ascii="Times New Roman" w:eastAsia="Times New Roman" w:hAnsi="Times New Roman" w:cs="Times New Roman"/>
                <w:color w:val="000000"/>
                <w:sz w:val="24"/>
                <w:szCs w:val="24"/>
              </w:rPr>
              <w:t xml:space="preserve">П є/були керівниками та виконавцями ряду науково-дослідних робіт, членами спеціалізованих вчених рад, членами редколегій провідних вітчизняних наукових фахових видань, експертами Національного </w:t>
            </w:r>
            <w:r>
              <w:rPr>
                <w:rFonts w:ascii="Times New Roman" w:eastAsia="Times New Roman" w:hAnsi="Times New Roman" w:cs="Times New Roman"/>
                <w:sz w:val="24"/>
                <w:szCs w:val="24"/>
              </w:rPr>
              <w:t>агентства</w:t>
            </w:r>
            <w:r>
              <w:rPr>
                <w:rFonts w:ascii="Times New Roman" w:eastAsia="Times New Roman" w:hAnsi="Times New Roman" w:cs="Times New Roman"/>
                <w:color w:val="000000"/>
                <w:sz w:val="24"/>
                <w:szCs w:val="24"/>
              </w:rPr>
              <w:t xml:space="preserve"> із забезпечення якості вищої освіти, Експертної Ради МОН, громадських та ін. організацій, Стипендіатами Кабінету Міністрів України, організаторами та членами програмних і наукових комітетів конференцій міжнародного рівня, здійснюють консультування та керівництво дисертаційними і магістерськими роботами. Відбір наукових керівників здійснюється кадровою комісією на конкурсній основі на основі чітких вимог до претендентів на посади згідно діючих нормативних документів та процедур в ТНТУ. Представники академічної та наукової спільноти, а також роботодавці залучаються до організації та реалізації освітнього процесу та/або наукового консультування аспірантів. Гарант освітньо</w:t>
            </w:r>
            <w:r>
              <w:rPr>
                <w:rFonts w:ascii="Times New Roman" w:eastAsia="Times New Roman" w:hAnsi="Times New Roman" w:cs="Times New Roman"/>
                <w:sz w:val="24"/>
                <w:szCs w:val="24"/>
              </w:rPr>
              <w:t xml:space="preserve">-наукової </w:t>
            </w:r>
            <w:r>
              <w:rPr>
                <w:rFonts w:ascii="Times New Roman" w:eastAsia="Times New Roman" w:hAnsi="Times New Roman" w:cs="Times New Roman"/>
                <w:color w:val="000000"/>
                <w:sz w:val="24"/>
                <w:szCs w:val="24"/>
              </w:rPr>
              <w:t xml:space="preserve">програми (керівник проектної групи): професор, доктор </w:t>
            </w:r>
            <w:proofErr w:type="spellStart"/>
            <w:r>
              <w:rPr>
                <w:rFonts w:ascii="Times New Roman" w:eastAsia="Times New Roman" w:hAnsi="Times New Roman" w:cs="Times New Roman"/>
                <w:color w:val="000000"/>
                <w:sz w:val="24"/>
                <w:szCs w:val="24"/>
              </w:rPr>
              <w:t>фіз</w:t>
            </w:r>
            <w:proofErr w:type="spellEnd"/>
            <w:r>
              <w:rPr>
                <w:rFonts w:ascii="Times New Roman" w:eastAsia="Times New Roman" w:hAnsi="Times New Roman" w:cs="Times New Roman"/>
                <w:color w:val="000000"/>
                <w:sz w:val="24"/>
                <w:szCs w:val="24"/>
              </w:rPr>
              <w:t xml:space="preserve">.-мат. наук, завідувач кафедри програмної інженерії ТНТУ, нагороджений державною нагородою Франції – Орденом Академічних Пальм  є провідним фахівцем в галузі комп’ютерного моделювання та </w:t>
            </w:r>
            <w:r>
              <w:rPr>
                <w:rFonts w:ascii="Times New Roman" w:eastAsia="Times New Roman" w:hAnsi="Times New Roman" w:cs="Times New Roman"/>
                <w:sz w:val="24"/>
                <w:szCs w:val="24"/>
              </w:rPr>
              <w:t xml:space="preserve">об’єктно-орієнтованого програмного забезпечення </w:t>
            </w:r>
            <w:r>
              <w:rPr>
                <w:rFonts w:ascii="Times New Roman" w:eastAsia="Times New Roman" w:hAnsi="Times New Roman" w:cs="Times New Roman"/>
                <w:color w:val="000000"/>
                <w:sz w:val="24"/>
                <w:szCs w:val="24"/>
              </w:rPr>
              <w:t>ідентифікації складних систем. Також гарант освітньо</w:t>
            </w:r>
            <w:r>
              <w:rPr>
                <w:rFonts w:ascii="Times New Roman" w:eastAsia="Times New Roman" w:hAnsi="Times New Roman" w:cs="Times New Roman"/>
                <w:sz w:val="24"/>
                <w:szCs w:val="24"/>
              </w:rPr>
              <w:t>-наукової</w:t>
            </w:r>
            <w:r>
              <w:rPr>
                <w:rFonts w:ascii="Times New Roman" w:eastAsia="Times New Roman" w:hAnsi="Times New Roman" w:cs="Times New Roman"/>
                <w:color w:val="000000"/>
                <w:sz w:val="24"/>
                <w:szCs w:val="24"/>
              </w:rPr>
              <w:t xml:space="preserve"> програми є співавтором 14 навчальних посібників, а його досягнення у професійній діяльності становлять 12 пунктів згідно підрозділу 38 Ліцензійних умов провадження освітньої діяльності.</w:t>
            </w:r>
          </w:p>
        </w:tc>
      </w:tr>
      <w:tr w:rsidR="00076811">
        <w:trPr>
          <w:trHeight w:val="1411"/>
        </w:trPr>
        <w:tc>
          <w:tcPr>
            <w:tcW w:w="2658"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ind w:left="107" w:right="22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Матеріально-</w:t>
            </w:r>
          </w:p>
          <w:p w:rsidR="00076811" w:rsidRDefault="0004391C">
            <w:pPr>
              <w:widowControl w:val="0"/>
              <w:pBdr>
                <w:top w:val="nil"/>
                <w:left w:val="nil"/>
                <w:bottom w:val="nil"/>
                <w:right w:val="nil"/>
                <w:between w:val="nil"/>
              </w:pBdr>
              <w:spacing w:after="0" w:line="240" w:lineRule="auto"/>
              <w:ind w:left="107" w:right="22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технічне забезпечення</w:t>
            </w:r>
          </w:p>
        </w:tc>
        <w:tc>
          <w:tcPr>
            <w:tcW w:w="6867"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Забезпеченість навчальними приміщеннями, укриттями, комп’ютерними робочими місцями, мультимедійним обладнанням відповідає потребі. Зокрема в ТНТУ функціонує 8 локальних комп’ютерних мереж і 24 точки бездротового доступу до мережі Інтернет. Наявна вся необхідна соціально-побутова інфраструктура (їдальня, буфети, три гуртожитки, актові зали, студентський палац, спортивні зали, стадіон, спортивні майданчики, медичний пункт, база відпочинку, басейн), яка адаптована для людей з особливими освітніми потребами (https://tntu.edu.ua/?p=uk/info/sen); кількість місць в гуртожитках відповідає вимогам (http://surl.li/rcrqm). Для проведення освітнього процесу та наукової роботи аспірантів використовується матеріально-технічна база різних структурних підрозділів університету: науково-дослідна лабораторія «Математичного моделювання і дослідження </w:t>
            </w:r>
            <w:proofErr w:type="spellStart"/>
            <w:r>
              <w:rPr>
                <w:rFonts w:ascii="Times New Roman" w:eastAsia="Times New Roman" w:hAnsi="Times New Roman" w:cs="Times New Roman"/>
                <w:color w:val="000000"/>
                <w:sz w:val="24"/>
                <w:szCs w:val="24"/>
              </w:rPr>
              <w:t>масопереносу</w:t>
            </w:r>
            <w:proofErr w:type="spellEnd"/>
            <w:r>
              <w:rPr>
                <w:rFonts w:ascii="Times New Roman" w:eastAsia="Times New Roman" w:hAnsi="Times New Roman" w:cs="Times New Roman"/>
                <w:color w:val="000000"/>
                <w:sz w:val="24"/>
                <w:szCs w:val="24"/>
              </w:rPr>
              <w:t xml:space="preserve"> в неоднорідних і </w:t>
            </w:r>
            <w:proofErr w:type="spellStart"/>
            <w:r>
              <w:rPr>
                <w:rFonts w:ascii="Times New Roman" w:eastAsia="Times New Roman" w:hAnsi="Times New Roman" w:cs="Times New Roman"/>
                <w:color w:val="000000"/>
                <w:sz w:val="24"/>
                <w:szCs w:val="24"/>
              </w:rPr>
              <w:t>нанопористих</w:t>
            </w:r>
            <w:proofErr w:type="spellEnd"/>
            <w:r>
              <w:rPr>
                <w:rFonts w:ascii="Times New Roman" w:eastAsia="Times New Roman" w:hAnsi="Times New Roman" w:cs="Times New Roman"/>
                <w:color w:val="000000"/>
                <w:sz w:val="24"/>
                <w:szCs w:val="24"/>
              </w:rPr>
              <w:t xml:space="preserve"> середовищах», навчально-наукові лабораторії та аудиторний фонд кафедри програмної інженерії та решти кафедр, викладачі яких задіяні в керівництві аспірантами та освітньому процесі за даною ОНП. Усі лабораторії оснащені відповідними дослідними </w:t>
            </w:r>
            <w:r>
              <w:rPr>
                <w:rFonts w:ascii="Times New Roman" w:eastAsia="Times New Roman" w:hAnsi="Times New Roman" w:cs="Times New Roman"/>
                <w:color w:val="000000"/>
                <w:sz w:val="24"/>
                <w:szCs w:val="24"/>
              </w:rPr>
              <w:lastRenderedPageBreak/>
              <w:t xml:space="preserve">стендами та експериментально-дослідними установками, вимірювальним устаткуванням. Лекційні аудиторії оснащені необхідною проекційною медіа та мультимедійною технікою. Аудиторний фонд відповідає санітарним нормам та правилам для навчальних приміщень, про що свідчать дані паспортів санітарно-технічного стану приміщень. Для проведення інформаційного пошуку та обробки результатів є спеціалізовані комп’ютерні класи кафедри програмної інженерії, лабораторія комп’ютерних мереж CISCO, у яких наявне спеціалізоване програмне забезпечення та необмежений відкритий доступ до Інтернет-мережі. Лабораторією математичного моделювання і дослідження </w:t>
            </w:r>
            <w:proofErr w:type="spellStart"/>
            <w:r>
              <w:rPr>
                <w:rFonts w:ascii="Times New Roman" w:eastAsia="Times New Roman" w:hAnsi="Times New Roman" w:cs="Times New Roman"/>
                <w:color w:val="000000"/>
                <w:sz w:val="24"/>
                <w:szCs w:val="24"/>
              </w:rPr>
              <w:t>масопереносу</w:t>
            </w:r>
            <w:proofErr w:type="spellEnd"/>
            <w:r>
              <w:rPr>
                <w:rFonts w:ascii="Times New Roman" w:eastAsia="Times New Roman" w:hAnsi="Times New Roman" w:cs="Times New Roman"/>
                <w:color w:val="000000"/>
                <w:sz w:val="24"/>
                <w:szCs w:val="24"/>
              </w:rPr>
              <w:t xml:space="preserve"> в неоднорідних і </w:t>
            </w:r>
            <w:proofErr w:type="spellStart"/>
            <w:r>
              <w:rPr>
                <w:rFonts w:ascii="Times New Roman" w:eastAsia="Times New Roman" w:hAnsi="Times New Roman" w:cs="Times New Roman"/>
                <w:color w:val="000000"/>
                <w:sz w:val="24"/>
                <w:szCs w:val="24"/>
              </w:rPr>
              <w:t>нанопористих</w:t>
            </w:r>
            <w:proofErr w:type="spellEnd"/>
            <w:r>
              <w:rPr>
                <w:rFonts w:ascii="Times New Roman" w:eastAsia="Times New Roman" w:hAnsi="Times New Roman" w:cs="Times New Roman"/>
                <w:color w:val="000000"/>
                <w:sz w:val="24"/>
                <w:szCs w:val="24"/>
              </w:rPr>
              <w:t xml:space="preserve"> середовищах підписано декілька угод про співпрацю з рядом провідних лабораторій Франції та співпрацює з Інститутом кібернетики ім. В.М. Глушкова НАН України та </w:t>
            </w:r>
            <w:r>
              <w:rPr>
                <w:rFonts w:ascii="Times New Roman" w:eastAsia="Times New Roman" w:hAnsi="Times New Roman" w:cs="Times New Roman"/>
                <w:sz w:val="24"/>
                <w:szCs w:val="24"/>
              </w:rPr>
              <w:t>Інститутом програмних систем НАН України</w:t>
            </w:r>
            <w:r>
              <w:rPr>
                <w:rFonts w:ascii="Times New Roman" w:eastAsia="Times New Roman" w:hAnsi="Times New Roman" w:cs="Times New Roman"/>
                <w:color w:val="000000"/>
                <w:sz w:val="24"/>
                <w:szCs w:val="24"/>
              </w:rPr>
              <w:t>.</w:t>
            </w:r>
          </w:p>
        </w:tc>
      </w:tr>
      <w:tr w:rsidR="00076811">
        <w:trPr>
          <w:trHeight w:val="1655"/>
        </w:trPr>
        <w:tc>
          <w:tcPr>
            <w:tcW w:w="2658"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tabs>
                <w:tab w:val="left" w:pos="568"/>
              </w:tabs>
              <w:spacing w:after="0" w:line="240" w:lineRule="auto"/>
              <w:ind w:left="107" w:right="9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Інформаційне та навчально- методичне забезпечення</w:t>
            </w:r>
          </w:p>
        </w:tc>
        <w:tc>
          <w:tcPr>
            <w:tcW w:w="6867"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107"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Офіційний веб-сайт http://tntu.edu.ua/?p=uk/main містить інформацію про освітні програми, навчальну, наукову і виховну діяльність, структурні підрозділи, правила прийому, контакти. Навчальний процес забезпечується навчально-методичними комплексами дисциплін як у друкованому вигляді, так і в електронній формі, зокрема в системі електронного навчання ТНТУ </w:t>
            </w:r>
            <w:proofErr w:type="spellStart"/>
            <w:r>
              <w:rPr>
                <w:rFonts w:ascii="Times New Roman" w:eastAsia="Times New Roman" w:hAnsi="Times New Roman" w:cs="Times New Roman"/>
                <w:color w:val="000000"/>
                <w:sz w:val="24"/>
                <w:szCs w:val="24"/>
              </w:rPr>
              <w:t>ATutor</w:t>
            </w:r>
            <w:proofErr w:type="spellEnd"/>
            <w:r>
              <w:rPr>
                <w:rFonts w:ascii="Times New Roman" w:eastAsia="Times New Roman" w:hAnsi="Times New Roman" w:cs="Times New Roman"/>
                <w:color w:val="000000"/>
                <w:sz w:val="24"/>
                <w:szCs w:val="24"/>
              </w:rPr>
              <w:t xml:space="preserve"> https://dl.tntu.edu.ua/, методичні, науково-методичні та наукові матеріали структуровано розміщені в інституційному </w:t>
            </w:r>
            <w:proofErr w:type="spellStart"/>
            <w:r>
              <w:rPr>
                <w:rFonts w:ascii="Times New Roman" w:eastAsia="Times New Roman" w:hAnsi="Times New Roman" w:cs="Times New Roman"/>
                <w:color w:val="000000"/>
                <w:sz w:val="24"/>
                <w:szCs w:val="24"/>
              </w:rPr>
              <w:t>репозитарії</w:t>
            </w:r>
            <w:proofErr w:type="spellEnd"/>
            <w:r>
              <w:rPr>
                <w:rFonts w:ascii="Times New Roman" w:eastAsia="Times New Roman" w:hAnsi="Times New Roman" w:cs="Times New Roman"/>
                <w:color w:val="000000"/>
                <w:sz w:val="24"/>
                <w:szCs w:val="24"/>
              </w:rPr>
              <w:t xml:space="preserve"> ELARTU (https://library.tntu.edu.ua/). Працює належно оснащена бібліотека з електронним каталогом, читальний зал забезпечений бездротовим доступом до мережі Інтернет, відкритий доступ до національних та міжнародних ресурсів. Загальна площа бібліотеки 881,8 м2 (475 м2 – читальні зали), налічує 16 приміщень, в яких розташовані: 3 читальні зали на 230 робочих місць; 1 електронний читальний зал на 20 робочих місць; 2 зали для видачі літератури; 6 книгосховищ. У 2018 р. відповідно до наказу Міністерства освіти і науки України №1286 від 19.09.2017, згідно укладеного договору із Державною науково-технічною бібліотекою України, у науково-технічній бібліотеці ТНТУ відкрито доступ до баз даних наукової періодики Scopus та </w:t>
            </w:r>
            <w:proofErr w:type="spellStart"/>
            <w:r>
              <w:rPr>
                <w:rFonts w:ascii="Times New Roman" w:eastAsia="Times New Roman" w:hAnsi="Times New Roman" w:cs="Times New Roman"/>
                <w:color w:val="000000"/>
                <w:sz w:val="24"/>
                <w:szCs w:val="24"/>
              </w:rPr>
              <w:t>Web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Підготовка здобувачів здійснюється з використанням ПЗ Microsoft Office 365, вільно доступних інформаційних систем та ПЗ. В якості інструментів протидії порушенням академічної доброчесності використовуються системи перевірки на плагіат, такі як </w:t>
            </w:r>
            <w:proofErr w:type="spellStart"/>
            <w:r>
              <w:rPr>
                <w:rFonts w:ascii="Times New Roman" w:eastAsia="Times New Roman" w:hAnsi="Times New Roman" w:cs="Times New Roman"/>
                <w:color w:val="000000"/>
                <w:sz w:val="24"/>
                <w:szCs w:val="24"/>
              </w:rPr>
              <w:t>Unicheck</w:t>
            </w:r>
            <w:proofErr w:type="spellEnd"/>
            <w:r>
              <w:rPr>
                <w:rFonts w:ascii="Times New Roman" w:eastAsia="Times New Roman" w:hAnsi="Times New Roman" w:cs="Times New Roman"/>
                <w:color w:val="000000"/>
                <w:sz w:val="24"/>
                <w:szCs w:val="24"/>
              </w:rPr>
              <w:t xml:space="preserve"> та StrikePlagiarism.com. Інформаційну підтримку й забезпечення освітнього процесу й науково-дослідницької роботи здійснює патентний відділ, інформаційний центр, Центр інформаційних технологій, університетське видавництво. Для публікації та апробації результатів наукових </w:t>
            </w:r>
            <w:r>
              <w:rPr>
                <w:rFonts w:ascii="Times New Roman" w:eastAsia="Times New Roman" w:hAnsi="Times New Roman" w:cs="Times New Roman"/>
                <w:color w:val="000000"/>
                <w:sz w:val="24"/>
                <w:szCs w:val="24"/>
              </w:rPr>
              <w:lastRenderedPageBreak/>
              <w:t xml:space="preserve">досліджень в університеті видається фаховий англомовний науковий журнал (https://visnyk.tntu.edu.ua/) категорії Б та проводяться щорічні наукові конференції (http://surl.li/enand), організатором чи співорганізатором яких є ТНТУ. Частина з них індексуються  </w:t>
            </w:r>
            <w:proofErr w:type="spellStart"/>
            <w:r>
              <w:rPr>
                <w:rFonts w:ascii="Times New Roman" w:eastAsia="Times New Roman" w:hAnsi="Times New Roman" w:cs="Times New Roman"/>
                <w:sz w:val="24"/>
                <w:szCs w:val="24"/>
              </w:rPr>
              <w:t>науковометричними</w:t>
            </w:r>
            <w:proofErr w:type="spellEnd"/>
            <w:r>
              <w:rPr>
                <w:rFonts w:ascii="Times New Roman" w:eastAsia="Times New Roman" w:hAnsi="Times New Roman" w:cs="Times New Roman"/>
                <w:color w:val="000000"/>
                <w:sz w:val="24"/>
                <w:szCs w:val="24"/>
              </w:rPr>
              <w:t xml:space="preserve"> базами Scopus та </w:t>
            </w:r>
            <w:proofErr w:type="spellStart"/>
            <w:r>
              <w:rPr>
                <w:rFonts w:ascii="Times New Roman" w:eastAsia="Times New Roman" w:hAnsi="Times New Roman" w:cs="Times New Roman"/>
                <w:color w:val="000000"/>
                <w:sz w:val="24"/>
                <w:szCs w:val="24"/>
              </w:rPr>
              <w:t>Web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w:t>
            </w:r>
          </w:p>
        </w:tc>
      </w:tr>
      <w:tr w:rsidR="00076811">
        <w:trPr>
          <w:trHeight w:val="224"/>
        </w:trPr>
        <w:tc>
          <w:tcPr>
            <w:tcW w:w="9525" w:type="dxa"/>
            <w:gridSpan w:val="5"/>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ind w:left="107" w:right="9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9. Академічна мобільність</w:t>
            </w:r>
          </w:p>
        </w:tc>
      </w:tr>
      <w:tr w:rsidR="00076811">
        <w:trPr>
          <w:trHeight w:val="781"/>
        </w:trPr>
        <w:tc>
          <w:tcPr>
            <w:tcW w:w="2658"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37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Національна кредитна мобільність</w:t>
            </w:r>
          </w:p>
        </w:tc>
        <w:tc>
          <w:tcPr>
            <w:tcW w:w="6867"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основі двосторонніх угод між ТНТУ та українськими закладами вищої освіти і науковими установами, до керівництва науковими роботами здобувачів можуть залучатися провідні фахівці цих закладів за індивідуальними договорами. Кредити, отримані в інших університетах, можуть бути </w:t>
            </w:r>
            <w:proofErr w:type="spellStart"/>
            <w:r>
              <w:rPr>
                <w:rFonts w:ascii="Times New Roman" w:eastAsia="Times New Roman" w:hAnsi="Times New Roman" w:cs="Times New Roman"/>
                <w:color w:val="000000"/>
                <w:sz w:val="24"/>
                <w:szCs w:val="24"/>
              </w:rPr>
              <w:t>перезараховані</w:t>
            </w:r>
            <w:proofErr w:type="spellEnd"/>
            <w:r>
              <w:rPr>
                <w:rFonts w:ascii="Times New Roman" w:eastAsia="Times New Roman" w:hAnsi="Times New Roman" w:cs="Times New Roman"/>
                <w:color w:val="000000"/>
                <w:sz w:val="24"/>
                <w:szCs w:val="24"/>
              </w:rPr>
              <w:t xml:space="preserve"> на підставі довідки про академічну мобільність відповідно до чинних положень ТНТУ.</w:t>
            </w:r>
          </w:p>
        </w:tc>
      </w:tr>
      <w:tr w:rsidR="00076811">
        <w:trPr>
          <w:trHeight w:val="792"/>
        </w:trPr>
        <w:tc>
          <w:tcPr>
            <w:tcW w:w="2658"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ight="39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Міжнародна кредитна мобільність</w:t>
            </w:r>
          </w:p>
        </w:tc>
        <w:tc>
          <w:tcPr>
            <w:tcW w:w="6867"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107" w:right="1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Міжнародна академічна мобільність для спеціальності </w:t>
            </w:r>
            <w:r>
              <w:rPr>
                <w:rFonts w:ascii="Times New Roman" w:eastAsia="Times New Roman" w:hAnsi="Times New Roman" w:cs="Times New Roman"/>
                <w:sz w:val="24"/>
                <w:szCs w:val="24"/>
              </w:rPr>
              <w:t>F2</w:t>
            </w:r>
            <w:r>
              <w:rPr>
                <w:rFonts w:ascii="Times New Roman" w:eastAsia="Times New Roman" w:hAnsi="Times New Roman" w:cs="Times New Roman"/>
                <w:color w:val="000000"/>
                <w:sz w:val="24"/>
                <w:szCs w:val="24"/>
              </w:rPr>
              <w:t xml:space="preserve"> «Інженерія програмного забезпечення» в ТНТУ здійснюється на основі двосторонніх угод з університетами (понад 100 закладів) та договорів про міжнародну академічну мобільність за напрямом КА1: «Навчальна мобільність» програми </w:t>
            </w:r>
            <w:proofErr w:type="spellStart"/>
            <w:r>
              <w:rPr>
                <w:rFonts w:ascii="Times New Roman" w:eastAsia="Times New Roman" w:hAnsi="Times New Roman" w:cs="Times New Roman"/>
                <w:color w:val="000000"/>
                <w:sz w:val="24"/>
                <w:szCs w:val="24"/>
              </w:rPr>
              <w:t>Еразмус</w:t>
            </w:r>
            <w:proofErr w:type="spellEnd"/>
            <w:r>
              <w:rPr>
                <w:rFonts w:ascii="Times New Roman" w:eastAsia="Times New Roman" w:hAnsi="Times New Roman" w:cs="Times New Roman"/>
                <w:color w:val="000000"/>
                <w:sz w:val="24"/>
                <w:szCs w:val="24"/>
              </w:rPr>
              <w:t>. Аспіранти мають можливість брати участь в академічній мобільності в межах 14 консорціумів європейських проектів з університетами Франції, Польщі, Німеччини, Литви, Австрії, Словаччини, та Іспанії. Серед партнерів такі  університети як «Люблінська Політехніка», «</w:t>
            </w:r>
            <w:proofErr w:type="spellStart"/>
            <w:r>
              <w:rPr>
                <w:rFonts w:ascii="Times New Roman" w:eastAsia="Times New Roman" w:hAnsi="Times New Roman" w:cs="Times New Roman"/>
                <w:color w:val="000000"/>
                <w:sz w:val="24"/>
                <w:szCs w:val="24"/>
              </w:rPr>
              <w:t>Опольська</w:t>
            </w:r>
            <w:proofErr w:type="spellEnd"/>
            <w:r>
              <w:rPr>
                <w:rFonts w:ascii="Times New Roman" w:eastAsia="Times New Roman" w:hAnsi="Times New Roman" w:cs="Times New Roman"/>
                <w:color w:val="000000"/>
                <w:sz w:val="24"/>
                <w:szCs w:val="24"/>
              </w:rPr>
              <w:t xml:space="preserve"> Політехніка», Політехніка </w:t>
            </w:r>
            <w:proofErr w:type="spellStart"/>
            <w:r>
              <w:rPr>
                <w:rFonts w:ascii="Times New Roman" w:eastAsia="Times New Roman" w:hAnsi="Times New Roman" w:cs="Times New Roman"/>
                <w:color w:val="000000"/>
                <w:sz w:val="24"/>
                <w:szCs w:val="24"/>
              </w:rPr>
              <w:t>Бялостоцька</w:t>
            </w:r>
            <w:proofErr w:type="spellEnd"/>
            <w:r>
              <w:rPr>
                <w:rFonts w:ascii="Times New Roman" w:eastAsia="Times New Roman" w:hAnsi="Times New Roman" w:cs="Times New Roman"/>
                <w:color w:val="000000"/>
                <w:sz w:val="24"/>
                <w:szCs w:val="24"/>
              </w:rPr>
              <w:t xml:space="preserve"> (Польща), Університет прикладних наук м. </w:t>
            </w:r>
            <w:proofErr w:type="spellStart"/>
            <w:r>
              <w:rPr>
                <w:rFonts w:ascii="Times New Roman" w:eastAsia="Times New Roman" w:hAnsi="Times New Roman" w:cs="Times New Roman"/>
                <w:color w:val="000000"/>
                <w:sz w:val="24"/>
                <w:szCs w:val="24"/>
              </w:rPr>
              <w:t>Шмалькальден</w:t>
            </w:r>
            <w:proofErr w:type="spellEnd"/>
            <w:r>
              <w:rPr>
                <w:rFonts w:ascii="Times New Roman" w:eastAsia="Times New Roman" w:hAnsi="Times New Roman" w:cs="Times New Roman"/>
                <w:color w:val="000000"/>
                <w:sz w:val="24"/>
                <w:szCs w:val="24"/>
              </w:rPr>
              <w:t xml:space="preserve"> (Німеччина). Аспіранти можуть навчатись за міжнародними спільними програмами подвійних дипломів із закладами-партнерами для здобуття ступеня доктора філософії. Наукові керівники аспірантів, викладачі групи забезпечення ОНП та кафедри інженерії програмного забезпечення активно беруть участь у міжнародній академічній мобільності в університетах-партнерах, таких як Університет П'єра і Марії Кюрі, </w:t>
            </w:r>
            <w:proofErr w:type="spellStart"/>
            <w:r>
              <w:rPr>
                <w:rFonts w:ascii="Times New Roman" w:eastAsia="Times New Roman" w:hAnsi="Times New Roman" w:cs="Times New Roman"/>
                <w:color w:val="000000"/>
                <w:sz w:val="24"/>
                <w:szCs w:val="24"/>
              </w:rPr>
              <w:t>Сорбонна</w:t>
            </w:r>
            <w:proofErr w:type="spellEnd"/>
            <w:r>
              <w:rPr>
                <w:rFonts w:ascii="Times New Roman" w:eastAsia="Times New Roman" w:hAnsi="Times New Roman" w:cs="Times New Roman"/>
                <w:color w:val="000000"/>
                <w:sz w:val="24"/>
                <w:szCs w:val="24"/>
              </w:rPr>
              <w:t xml:space="preserve">, Париж (Франція), Інститут промислової фізики та хімії, Париж (Франція). Для підвищення рівня </w:t>
            </w:r>
            <w:proofErr w:type="spellStart"/>
            <w:r>
              <w:rPr>
                <w:rFonts w:ascii="Times New Roman" w:eastAsia="Times New Roman" w:hAnsi="Times New Roman" w:cs="Times New Roman"/>
                <w:color w:val="000000"/>
                <w:sz w:val="24"/>
                <w:szCs w:val="24"/>
              </w:rPr>
              <w:t>мовної</w:t>
            </w:r>
            <w:proofErr w:type="spellEnd"/>
            <w:r>
              <w:rPr>
                <w:rFonts w:ascii="Times New Roman" w:eastAsia="Times New Roman" w:hAnsi="Times New Roman" w:cs="Times New Roman"/>
                <w:color w:val="000000"/>
                <w:sz w:val="24"/>
                <w:szCs w:val="24"/>
              </w:rPr>
              <w:t xml:space="preserve"> підготовки аспіранти та викладачі можуть вивчати іноземні мови (англійську, польську, французьку, німецьку) у Центрі іноземних мов ТНТУ.</w:t>
            </w:r>
          </w:p>
        </w:tc>
      </w:tr>
      <w:tr w:rsidR="00076811">
        <w:trPr>
          <w:trHeight w:val="1088"/>
        </w:trPr>
        <w:tc>
          <w:tcPr>
            <w:tcW w:w="2658"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ind w:left="107" w:right="59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Навчання іноземних здобувачів вищої освіти</w:t>
            </w:r>
          </w:p>
        </w:tc>
        <w:tc>
          <w:tcPr>
            <w:tcW w:w="6867"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76" w:lineRule="auto"/>
              <w:ind w:lef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Навчання здійснюється на загальних умовах або за індивідуальним графіком.</w:t>
            </w:r>
          </w:p>
        </w:tc>
      </w:tr>
    </w:tbl>
    <w:p w:rsidR="00076811" w:rsidRDefault="00076811">
      <w:pPr>
        <w:pBdr>
          <w:top w:val="nil"/>
          <w:left w:val="nil"/>
          <w:bottom w:val="nil"/>
          <w:right w:val="nil"/>
          <w:between w:val="nil"/>
        </w:pBdr>
        <w:tabs>
          <w:tab w:val="left" w:pos="7380"/>
        </w:tabs>
        <w:spacing w:before="240" w:after="240" w:line="276" w:lineRule="auto"/>
        <w:jc w:val="center"/>
        <w:rPr>
          <w:rFonts w:ascii="Times New Roman" w:eastAsia="Times New Roman" w:hAnsi="Times New Roman" w:cs="Times New Roman"/>
          <w:b/>
          <w:bCs/>
          <w:color w:val="000000"/>
          <w:sz w:val="28"/>
          <w:szCs w:val="28"/>
        </w:rPr>
      </w:pPr>
    </w:p>
    <w:p w:rsidR="00076811" w:rsidRDefault="0004391C">
      <w:pPr>
        <w:rPr>
          <w:rFonts w:ascii="Times New Roman" w:eastAsia="Times New Roman" w:hAnsi="Times New Roman" w:cs="Times New Roman"/>
          <w:b/>
          <w:bCs/>
          <w:color w:val="000000"/>
          <w:sz w:val="28"/>
          <w:szCs w:val="28"/>
        </w:rPr>
      </w:pPr>
      <w:r>
        <w:br w:type="page"/>
      </w:r>
    </w:p>
    <w:p w:rsidR="00076811" w:rsidRDefault="0004391C">
      <w:pPr>
        <w:pBdr>
          <w:top w:val="nil"/>
          <w:left w:val="nil"/>
          <w:bottom w:val="nil"/>
          <w:right w:val="nil"/>
          <w:between w:val="nil"/>
        </w:pBdr>
        <w:tabs>
          <w:tab w:val="left" w:pos="7380"/>
        </w:tabs>
        <w:spacing w:before="240" w:after="24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2. Перелік компонент освітньо-наукової програми та їх логічна послідовність</w:t>
      </w:r>
    </w:p>
    <w:p w:rsidR="00076811" w:rsidRDefault="0004391C">
      <w:pPr>
        <w:pBdr>
          <w:top w:val="nil"/>
          <w:left w:val="nil"/>
          <w:bottom w:val="nil"/>
          <w:right w:val="nil"/>
          <w:between w:val="nil"/>
        </w:pBdr>
        <w:tabs>
          <w:tab w:val="left" w:pos="7380"/>
        </w:tabs>
        <w:spacing w:after="200" w:line="276"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2.1. Перелік компонент освітньо-наукової програми</w:t>
      </w:r>
    </w:p>
    <w:tbl>
      <w:tblPr>
        <w:tblStyle w:val="a7"/>
        <w:tblW w:w="9795" w:type="dxa"/>
        <w:jc w:val="center"/>
        <w:tblInd w:w="0" w:type="dxa"/>
        <w:tblLayout w:type="fixed"/>
        <w:tblLook w:val="0000" w:firstRow="0" w:lastRow="0" w:firstColumn="0" w:lastColumn="0" w:noHBand="0" w:noVBand="0"/>
      </w:tblPr>
      <w:tblGrid>
        <w:gridCol w:w="765"/>
        <w:gridCol w:w="450"/>
        <w:gridCol w:w="105"/>
        <w:gridCol w:w="3945"/>
        <w:gridCol w:w="945"/>
        <w:gridCol w:w="495"/>
        <w:gridCol w:w="915"/>
        <w:gridCol w:w="2175"/>
      </w:tblGrid>
      <w:tr w:rsidR="00076811">
        <w:trPr>
          <w:trHeight w:val="827"/>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6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Код н/д</w:t>
            </w: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280" w:right="356"/>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Компоненти освітньо</w:t>
            </w:r>
            <w:r>
              <w:rPr>
                <w:rFonts w:ascii="Times New Roman" w:eastAsia="Times New Roman" w:hAnsi="Times New Roman" w:cs="Times New Roman"/>
                <w:b/>
                <w:bCs/>
                <w:sz w:val="24"/>
                <w:szCs w:val="24"/>
              </w:rPr>
              <w:t>-наукової</w:t>
            </w:r>
            <w:r>
              <w:rPr>
                <w:rFonts w:ascii="Times New Roman" w:eastAsia="Times New Roman" w:hAnsi="Times New Roman" w:cs="Times New Roman"/>
                <w:b/>
                <w:bCs/>
                <w:color w:val="000000"/>
                <w:sz w:val="24"/>
                <w:szCs w:val="24"/>
              </w:rPr>
              <w:t xml:space="preserve"> програми (навчальні дисципліни, курсові роботи, практики, атестація здобувачів вищої освіти)</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ind w:left="187" w:right="186" w:hanging="5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Кількість кредитів</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9" w:right="17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Форма</w:t>
            </w:r>
          </w:p>
          <w:p w:rsidR="00076811" w:rsidRDefault="0004391C">
            <w:pPr>
              <w:widowControl w:val="0"/>
              <w:pBdr>
                <w:top w:val="nil"/>
                <w:left w:val="nil"/>
                <w:bottom w:val="nil"/>
                <w:right w:val="nil"/>
                <w:between w:val="nil"/>
              </w:pBdr>
              <w:spacing w:after="0"/>
              <w:ind w:left="109" w:right="175"/>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підсумкового контролю</w:t>
            </w:r>
          </w:p>
        </w:tc>
      </w:tr>
      <w:tr w:rsidR="00076811">
        <w:trPr>
          <w:trHeight w:val="275"/>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right="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right="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right="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right="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076811">
        <w:trPr>
          <w:trHeight w:val="275"/>
          <w:jc w:val="center"/>
        </w:trPr>
        <w:tc>
          <w:tcPr>
            <w:tcW w:w="9795" w:type="dxa"/>
            <w:gridSpan w:val="8"/>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22"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Обов’язкові компоненти освітнь</w:t>
            </w:r>
            <w:r>
              <w:rPr>
                <w:rFonts w:ascii="Times New Roman" w:eastAsia="Times New Roman" w:hAnsi="Times New Roman" w:cs="Times New Roman"/>
                <w:sz w:val="24"/>
                <w:szCs w:val="24"/>
              </w:rPr>
              <w:t>о-наукової</w:t>
            </w:r>
            <w:r>
              <w:rPr>
                <w:rFonts w:ascii="Times New Roman" w:eastAsia="Times New Roman" w:hAnsi="Times New Roman" w:cs="Times New Roman"/>
                <w:color w:val="000000"/>
                <w:sz w:val="24"/>
                <w:szCs w:val="24"/>
              </w:rPr>
              <w:t xml:space="preserve"> програми</w:t>
            </w:r>
          </w:p>
        </w:tc>
      </w:tr>
      <w:tr w:rsidR="00076811">
        <w:trPr>
          <w:trHeight w:val="275"/>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Цикл загальної підготовки</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076811">
        <w:trPr>
          <w:trHeight w:val="275"/>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ОК1</w:t>
            </w: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Іноземна мова для науковців (</w:t>
            </w:r>
            <w:proofErr w:type="spellStart"/>
            <w:r>
              <w:rPr>
                <w:rFonts w:ascii="Times New Roman" w:eastAsia="Times New Roman" w:hAnsi="Times New Roman" w:cs="Times New Roman"/>
                <w:color w:val="000000"/>
                <w:sz w:val="24"/>
                <w:szCs w:val="24"/>
              </w:rPr>
              <w:t>Foreign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Language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Academic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Purposes</w:t>
            </w:r>
            <w:proofErr w:type="spellEnd"/>
            <w:r>
              <w:rPr>
                <w:rFonts w:ascii="Times New Roman" w:eastAsia="Times New Roman" w:hAnsi="Times New Roman" w:cs="Times New Roman"/>
                <w:color w:val="000000"/>
                <w:sz w:val="24"/>
                <w:szCs w:val="24"/>
              </w:rPr>
              <w:t>)</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Екзамен</w:t>
            </w:r>
          </w:p>
        </w:tc>
      </w:tr>
      <w:tr w:rsidR="00076811">
        <w:trPr>
          <w:trHeight w:val="278"/>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before="1"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ОК2</w:t>
            </w: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Основи педагогіки та психології вищої школи (</w:t>
            </w:r>
            <w:proofErr w:type="spellStart"/>
            <w:r>
              <w:rPr>
                <w:rFonts w:ascii="Times New Roman" w:eastAsia="Times New Roman" w:hAnsi="Times New Roman" w:cs="Times New Roman"/>
                <w:color w:val="000000"/>
                <w:sz w:val="24"/>
                <w:szCs w:val="24"/>
              </w:rPr>
              <w:t>Fundamentals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Pedagogic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Psychology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Higher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Екзамен</w:t>
            </w:r>
          </w:p>
        </w:tc>
      </w:tr>
      <w:tr w:rsidR="00076811">
        <w:trPr>
          <w:trHeight w:val="275"/>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ОК3</w:t>
            </w: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Філософія науки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Philosophy</w:t>
            </w:r>
            <w:proofErr w:type="spellEnd"/>
            <w:r>
              <w:rPr>
                <w:rFonts w:ascii="Times New Roman" w:eastAsia="Times New Roman" w:hAnsi="Times New Roman" w:cs="Times New Roman"/>
                <w:color w:val="000000"/>
                <w:sz w:val="24"/>
                <w:szCs w:val="24"/>
              </w:rPr>
              <w:t>)</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Екзамен</w:t>
            </w:r>
          </w:p>
        </w:tc>
      </w:tr>
      <w:tr w:rsidR="00076811">
        <w:trPr>
          <w:trHeight w:val="275"/>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Цикл професійної підготовки</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076811">
        <w:trPr>
          <w:trHeight w:val="275"/>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ОК4</w:t>
            </w: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Засади провадження наукової діяльності</w:t>
            </w:r>
          </w:p>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Fundamental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Scientific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Activities</w:t>
            </w:r>
            <w:proofErr w:type="spellEnd"/>
            <w:r>
              <w:rPr>
                <w:rFonts w:ascii="Times New Roman" w:eastAsia="Times New Roman" w:hAnsi="Times New Roman" w:cs="Times New Roman"/>
                <w:color w:val="000000"/>
                <w:sz w:val="24"/>
                <w:szCs w:val="24"/>
              </w:rPr>
              <w:t>)</w:t>
            </w:r>
          </w:p>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Залік</w:t>
            </w:r>
          </w:p>
        </w:tc>
      </w:tr>
      <w:tr w:rsidR="00076811">
        <w:trPr>
          <w:trHeight w:val="275"/>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ОК5</w:t>
            </w: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Інформаційні технології в наукових дослідженнях </w:t>
            </w:r>
          </w:p>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Information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technology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scientific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research</w:t>
            </w:r>
            <w:proofErr w:type="spellEnd"/>
            <w:r>
              <w:rPr>
                <w:rFonts w:ascii="Times New Roman" w:eastAsia="Times New Roman" w:hAnsi="Times New Roman" w:cs="Times New Roman"/>
                <w:color w:val="000000"/>
                <w:sz w:val="24"/>
                <w:szCs w:val="24"/>
              </w:rPr>
              <w:t>)</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Екзамен</w:t>
            </w:r>
          </w:p>
        </w:tc>
      </w:tr>
      <w:tr w:rsidR="00076811">
        <w:trPr>
          <w:trHeight w:val="521"/>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ОК6</w:t>
            </w: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Наукометричні</w:t>
            </w:r>
            <w:proofErr w:type="spellEnd"/>
            <w:r>
              <w:rPr>
                <w:rFonts w:ascii="Times New Roman" w:eastAsia="Times New Roman" w:hAnsi="Times New Roman" w:cs="Times New Roman"/>
                <w:color w:val="000000"/>
                <w:sz w:val="24"/>
                <w:szCs w:val="24"/>
              </w:rPr>
              <w:t xml:space="preserve"> бази даних (</w:t>
            </w:r>
            <w:proofErr w:type="spellStart"/>
            <w:r>
              <w:rPr>
                <w:rFonts w:ascii="Times New Roman" w:eastAsia="Times New Roman" w:hAnsi="Times New Roman" w:cs="Times New Roman"/>
                <w:color w:val="000000"/>
                <w:sz w:val="24"/>
                <w:szCs w:val="24"/>
              </w:rPr>
              <w:t>Scientometric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databases</w:t>
            </w:r>
            <w:proofErr w:type="spellEnd"/>
            <w:r>
              <w:rPr>
                <w:rFonts w:ascii="Times New Roman" w:eastAsia="Times New Roman" w:hAnsi="Times New Roman" w:cs="Times New Roman"/>
                <w:color w:val="000000"/>
                <w:sz w:val="24"/>
                <w:szCs w:val="24"/>
              </w:rPr>
              <w:t>)</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Екзамен</w:t>
            </w:r>
          </w:p>
        </w:tc>
      </w:tr>
      <w:tr w:rsidR="00076811">
        <w:trPr>
          <w:trHeight w:val="275"/>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ОК7</w:t>
            </w: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Проєктування та розробка інформаційних систем </w:t>
            </w:r>
          </w:p>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Design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information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systems</w:t>
            </w:r>
            <w:proofErr w:type="spellEnd"/>
            <w:r>
              <w:rPr>
                <w:rFonts w:ascii="Times New Roman" w:eastAsia="Times New Roman" w:hAnsi="Times New Roman" w:cs="Times New Roman"/>
                <w:color w:val="000000"/>
                <w:sz w:val="24"/>
                <w:szCs w:val="24"/>
              </w:rPr>
              <w:t>)</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Екзамен</w:t>
            </w:r>
          </w:p>
        </w:tc>
      </w:tr>
      <w:tr w:rsidR="00076811">
        <w:trPr>
          <w:trHeight w:val="275"/>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ОК8</w:t>
            </w: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Теорія і практика інженерії програмного забезпечення </w:t>
            </w:r>
          </w:p>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Theory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practice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software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engineering</w:t>
            </w:r>
            <w:proofErr w:type="spellEnd"/>
            <w:r>
              <w:rPr>
                <w:rFonts w:ascii="Times New Roman" w:eastAsia="Times New Roman" w:hAnsi="Times New Roman" w:cs="Times New Roman"/>
                <w:color w:val="000000"/>
                <w:sz w:val="24"/>
                <w:szCs w:val="24"/>
              </w:rPr>
              <w:t>)</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Екзамен</w:t>
            </w:r>
          </w:p>
        </w:tc>
      </w:tr>
      <w:tr w:rsidR="00076811">
        <w:trPr>
          <w:trHeight w:val="275"/>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Цикл практичної підготовки</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076811">
        <w:trPr>
          <w:trHeight w:val="275"/>
          <w:jc w:val="center"/>
        </w:trPr>
        <w:tc>
          <w:tcPr>
            <w:tcW w:w="1215"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ОК9</w:t>
            </w:r>
          </w:p>
        </w:tc>
        <w:tc>
          <w:tcPr>
            <w:tcW w:w="4995"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Науково-педагогічна практика (</w:t>
            </w:r>
            <w:proofErr w:type="spellStart"/>
            <w:r>
              <w:rPr>
                <w:rFonts w:ascii="Times New Roman" w:eastAsia="Times New Roman" w:hAnsi="Times New Roman" w:cs="Times New Roman"/>
                <w:color w:val="000000"/>
                <w:sz w:val="24"/>
                <w:szCs w:val="24"/>
              </w:rPr>
              <w:t>Scientific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pedagogical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practice</w:t>
            </w:r>
            <w:proofErr w:type="spellEnd"/>
            <w:r>
              <w:rPr>
                <w:rFonts w:ascii="Times New Roman" w:eastAsia="Times New Roman" w:hAnsi="Times New Roman" w:cs="Times New Roman"/>
                <w:color w:val="000000"/>
                <w:sz w:val="24"/>
                <w:szCs w:val="24"/>
              </w:rPr>
              <w:t>)</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Диференційованийзалік</w:t>
            </w:r>
            <w:proofErr w:type="spellEnd"/>
          </w:p>
        </w:tc>
      </w:tr>
      <w:tr w:rsidR="00076811">
        <w:trPr>
          <w:trHeight w:val="275"/>
          <w:jc w:val="center"/>
        </w:trPr>
        <w:tc>
          <w:tcPr>
            <w:tcW w:w="6210" w:type="dxa"/>
            <w:gridSpan w:val="5"/>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Загальний обсяг обов’язкових компонент:</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076811">
        <w:trPr>
          <w:trHeight w:val="275"/>
          <w:jc w:val="center"/>
        </w:trPr>
        <w:tc>
          <w:tcPr>
            <w:tcW w:w="9795" w:type="dxa"/>
            <w:gridSpan w:val="8"/>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22"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Вибіркові компоненти освітньо</w:t>
            </w:r>
            <w:r>
              <w:rPr>
                <w:rFonts w:ascii="Times New Roman" w:eastAsia="Times New Roman" w:hAnsi="Times New Roman" w:cs="Times New Roman"/>
                <w:sz w:val="24"/>
                <w:szCs w:val="24"/>
              </w:rPr>
              <w:t>-наукової</w:t>
            </w:r>
            <w:r>
              <w:rPr>
                <w:rFonts w:ascii="Times New Roman" w:eastAsia="Times New Roman" w:hAnsi="Times New Roman" w:cs="Times New Roman"/>
                <w:color w:val="000000"/>
                <w:sz w:val="24"/>
                <w:szCs w:val="24"/>
              </w:rPr>
              <w:t xml:space="preserve"> програми*</w:t>
            </w:r>
          </w:p>
        </w:tc>
      </w:tr>
      <w:tr w:rsidR="00076811">
        <w:trPr>
          <w:trHeight w:val="275"/>
          <w:jc w:val="center"/>
        </w:trPr>
        <w:tc>
          <w:tcPr>
            <w:tcW w:w="1320"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ВК1</w:t>
            </w:r>
          </w:p>
        </w:tc>
        <w:tc>
          <w:tcPr>
            <w:tcW w:w="489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Вибіркові компоненти</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Екзамен</w:t>
            </w:r>
          </w:p>
        </w:tc>
      </w:tr>
      <w:tr w:rsidR="00076811">
        <w:trPr>
          <w:trHeight w:val="275"/>
          <w:jc w:val="center"/>
        </w:trPr>
        <w:tc>
          <w:tcPr>
            <w:tcW w:w="1320"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ВК2</w:t>
            </w:r>
          </w:p>
        </w:tc>
        <w:tc>
          <w:tcPr>
            <w:tcW w:w="489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Вибіркові компоненти</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Екзамен</w:t>
            </w:r>
          </w:p>
        </w:tc>
      </w:tr>
      <w:tr w:rsidR="00076811">
        <w:trPr>
          <w:trHeight w:val="275"/>
          <w:jc w:val="center"/>
        </w:trPr>
        <w:tc>
          <w:tcPr>
            <w:tcW w:w="1320" w:type="dxa"/>
            <w:gridSpan w:val="3"/>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ВК3</w:t>
            </w:r>
          </w:p>
        </w:tc>
        <w:tc>
          <w:tcPr>
            <w:tcW w:w="489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Вибіркові компоненти</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Екзамен</w:t>
            </w:r>
          </w:p>
        </w:tc>
      </w:tr>
      <w:tr w:rsidR="00076811">
        <w:trPr>
          <w:trHeight w:val="275"/>
          <w:jc w:val="center"/>
        </w:trPr>
        <w:tc>
          <w:tcPr>
            <w:tcW w:w="6210" w:type="dxa"/>
            <w:gridSpan w:val="5"/>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Загальний обсяг вибіркових компонент:</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076811">
        <w:trPr>
          <w:trHeight w:val="275"/>
          <w:jc w:val="center"/>
        </w:trPr>
        <w:tc>
          <w:tcPr>
            <w:tcW w:w="6210" w:type="dxa"/>
            <w:gridSpan w:val="5"/>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ЗАГАЛЬНИЙ ОБСЯГ </w:t>
            </w:r>
            <w:r>
              <w:rPr>
                <w:rFonts w:ascii="Times New Roman" w:eastAsia="Times New Roman" w:hAnsi="Times New Roman" w:cs="Times New Roman"/>
                <w:sz w:val="24"/>
                <w:szCs w:val="24"/>
              </w:rPr>
              <w:t>ОНП</w:t>
            </w:r>
          </w:p>
        </w:tc>
        <w:tc>
          <w:tcPr>
            <w:tcW w:w="1410" w:type="dxa"/>
            <w:gridSpan w:val="2"/>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49,5</w:t>
            </w:r>
          </w:p>
        </w:tc>
        <w:tc>
          <w:tcPr>
            <w:tcW w:w="2175" w:type="dxa"/>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076811">
        <w:trPr>
          <w:jc w:val="center"/>
        </w:trPr>
        <w:tc>
          <w:tcPr>
            <w:tcW w:w="76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 н/д</w:t>
            </w:r>
          </w:p>
        </w:tc>
        <w:tc>
          <w:tcPr>
            <w:tcW w:w="4500"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Компоненти освітньо</w:t>
            </w:r>
            <w:r>
              <w:rPr>
                <w:rFonts w:ascii="Times New Roman" w:eastAsia="Times New Roman" w:hAnsi="Times New Roman" w:cs="Times New Roman"/>
                <w:sz w:val="24"/>
                <w:szCs w:val="24"/>
              </w:rPr>
              <w:t>-наукової</w:t>
            </w:r>
            <w:r>
              <w:rPr>
                <w:rFonts w:ascii="Times New Roman" w:eastAsia="Times New Roman" w:hAnsi="Times New Roman" w:cs="Times New Roman"/>
                <w:color w:val="000000"/>
                <w:sz w:val="24"/>
                <w:szCs w:val="24"/>
              </w:rPr>
              <w:t xml:space="preserve"> програми (навчальні дисципліни, практика)</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076811" w:rsidRDefault="0004391C">
            <w:pPr>
              <w:pBdr>
                <w:top w:val="nil"/>
                <w:left w:val="nil"/>
                <w:bottom w:val="nil"/>
                <w:right w:val="nil"/>
                <w:between w:val="nil"/>
              </w:pBdr>
              <w:spacing w:after="0" w:line="240" w:lineRule="auto"/>
              <w:ind w:left="-2" w:right="-10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кредитів</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 підсумкового контролю</w:t>
            </w:r>
          </w:p>
        </w:tc>
      </w:tr>
      <w:tr w:rsidR="00076811">
        <w:trPr>
          <w:trHeight w:val="350"/>
          <w:jc w:val="center"/>
        </w:trPr>
        <w:tc>
          <w:tcPr>
            <w:tcW w:w="9795" w:type="dxa"/>
            <w:gridSpan w:val="8"/>
            <w:tcBorders>
              <w:top w:val="single" w:sz="4" w:space="0" w:color="000000"/>
              <w:left w:val="single" w:sz="4" w:space="0" w:color="000000"/>
              <w:bottom w:val="single" w:sz="4" w:space="0" w:color="000000"/>
              <w:right w:val="single" w:sz="4" w:space="0" w:color="000000"/>
            </w:tcBorders>
            <w:vAlign w:val="center"/>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НАУКОВА СКЛАДОВА ОНП</w:t>
            </w:r>
          </w:p>
        </w:tc>
      </w:tr>
      <w:tr w:rsidR="00076811">
        <w:trPr>
          <w:trHeight w:val="350"/>
          <w:jc w:val="center"/>
        </w:trPr>
        <w:tc>
          <w:tcPr>
            <w:tcW w:w="5265" w:type="dxa"/>
            <w:gridSpan w:val="4"/>
            <w:tcBorders>
              <w:top w:val="single" w:sz="4" w:space="0" w:color="000000"/>
              <w:left w:val="single" w:sz="4" w:space="0" w:color="000000"/>
              <w:bottom w:val="single" w:sz="4" w:space="0" w:color="000000"/>
              <w:right w:val="single" w:sz="4" w:space="0" w:color="000000"/>
            </w:tcBorders>
            <w:vAlign w:val="center"/>
          </w:tcPr>
          <w:p w:rsidR="00076811" w:rsidRDefault="0004391C">
            <w:pPr>
              <w:spacing w:after="0" w:line="240" w:lineRule="auto"/>
              <w:ind w:left="-2" w:right="-11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Наукова робота</w:t>
            </w:r>
            <w:r>
              <w:rPr>
                <w:rFonts w:ascii="Times New Roman" w:eastAsia="Times New Roman" w:hAnsi="Times New Roman" w:cs="Times New Roman"/>
                <w:sz w:val="24"/>
                <w:szCs w:val="24"/>
              </w:rPr>
              <w:t xml:space="preserve"> (виконання досліджень, публікація статей у фахових періодичних виданнях, у </w:t>
            </w:r>
            <w:proofErr w:type="spellStart"/>
            <w:r>
              <w:rPr>
                <w:rFonts w:ascii="Times New Roman" w:eastAsia="Times New Roman" w:hAnsi="Times New Roman" w:cs="Times New Roman"/>
                <w:sz w:val="24"/>
                <w:szCs w:val="24"/>
              </w:rPr>
              <w:t>т.ч</w:t>
            </w:r>
            <w:proofErr w:type="spellEnd"/>
            <w:r>
              <w:rPr>
                <w:rFonts w:ascii="Times New Roman" w:eastAsia="Times New Roman" w:hAnsi="Times New Roman" w:cs="Times New Roman"/>
                <w:sz w:val="24"/>
                <w:szCs w:val="24"/>
              </w:rPr>
              <w:t xml:space="preserve">. закордонних, які входять до </w:t>
            </w:r>
            <w:proofErr w:type="spellStart"/>
            <w:r>
              <w:rPr>
                <w:rFonts w:ascii="Times New Roman" w:eastAsia="Times New Roman" w:hAnsi="Times New Roman" w:cs="Times New Roman"/>
                <w:sz w:val="24"/>
                <w:szCs w:val="24"/>
              </w:rPr>
              <w:t>наукометричних</w:t>
            </w:r>
            <w:proofErr w:type="spellEnd"/>
            <w:r>
              <w:rPr>
                <w:rFonts w:ascii="Times New Roman" w:eastAsia="Times New Roman" w:hAnsi="Times New Roman" w:cs="Times New Roman"/>
                <w:sz w:val="24"/>
                <w:szCs w:val="24"/>
              </w:rPr>
              <w:t xml:space="preserve"> баз, участь у конференціях, семінарах, круглих столах, патентування </w:t>
            </w:r>
            <w:r>
              <w:rPr>
                <w:rFonts w:ascii="Times New Roman" w:eastAsia="Times New Roman" w:hAnsi="Times New Roman" w:cs="Times New Roman"/>
                <w:sz w:val="24"/>
                <w:szCs w:val="24"/>
              </w:rPr>
              <w:lastRenderedPageBreak/>
              <w:t>науково-технічних розробок (за потреби), підготовка дисертації).</w:t>
            </w:r>
          </w:p>
          <w:tbl>
            <w:tblPr>
              <w:tblStyle w:val="a8"/>
              <w:tblW w:w="4935" w:type="dxa"/>
              <w:tblInd w:w="0" w:type="dxa"/>
              <w:tblLayout w:type="fixed"/>
              <w:tblLook w:val="0000" w:firstRow="0" w:lastRow="0" w:firstColumn="0" w:lastColumn="0" w:noHBand="0" w:noVBand="0"/>
            </w:tblPr>
            <w:tblGrid>
              <w:gridCol w:w="4935"/>
            </w:tblGrid>
            <w:tr w:rsidR="00076811">
              <w:trPr>
                <w:trHeight w:val="109"/>
              </w:trPr>
              <w:tc>
                <w:tcPr>
                  <w:tcW w:w="4935" w:type="dxa"/>
                </w:tcPr>
                <w:p w:rsidR="00076811" w:rsidRDefault="00076811">
                  <w:pPr>
                    <w:pBdr>
                      <w:top w:val="nil"/>
                      <w:left w:val="nil"/>
                      <w:bottom w:val="nil"/>
                      <w:right w:val="nil"/>
                      <w:between w:val="nil"/>
                    </w:pBdr>
                    <w:spacing w:after="0" w:line="240" w:lineRule="auto"/>
                    <w:ind w:left="-2" w:right="-112" w:hanging="2"/>
                    <w:jc w:val="center"/>
                    <w:rPr>
                      <w:rFonts w:ascii="Times New Roman" w:eastAsia="Times New Roman" w:hAnsi="Times New Roman" w:cs="Times New Roman"/>
                      <w:color w:val="000000"/>
                      <w:sz w:val="24"/>
                      <w:szCs w:val="24"/>
                    </w:rPr>
                  </w:pPr>
                </w:p>
              </w:tc>
            </w:tr>
          </w:tbl>
          <w:p w:rsidR="00076811" w:rsidRDefault="00076811">
            <w:pPr>
              <w:pBdr>
                <w:top w:val="nil"/>
                <w:left w:val="nil"/>
                <w:bottom w:val="nil"/>
                <w:right w:val="nil"/>
                <w:between w:val="nil"/>
              </w:pBdr>
              <w:rPr>
                <w:color w:val="000000"/>
                <w:sz w:val="24"/>
                <w:szCs w:val="24"/>
              </w:rPr>
            </w:pPr>
          </w:p>
        </w:tc>
        <w:tc>
          <w:tcPr>
            <w:tcW w:w="4530" w:type="dxa"/>
            <w:gridSpan w:val="4"/>
            <w:tcBorders>
              <w:top w:val="single" w:sz="4" w:space="0" w:color="000000"/>
              <w:left w:val="single" w:sz="4" w:space="0" w:color="000000"/>
              <w:bottom w:val="single" w:sz="4" w:space="0" w:color="000000"/>
              <w:right w:val="single" w:sz="4" w:space="0" w:color="000000"/>
            </w:tcBorders>
            <w:vAlign w:val="center"/>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183,0</w:t>
            </w:r>
          </w:p>
        </w:tc>
      </w:tr>
      <w:tr w:rsidR="00076811">
        <w:trPr>
          <w:jc w:val="center"/>
        </w:trPr>
        <w:tc>
          <w:tcPr>
            <w:tcW w:w="76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Код н/д</w:t>
            </w:r>
          </w:p>
        </w:tc>
        <w:tc>
          <w:tcPr>
            <w:tcW w:w="4500"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Компоненти освітньо</w:t>
            </w:r>
            <w:r>
              <w:rPr>
                <w:rFonts w:ascii="Times New Roman" w:eastAsia="Times New Roman" w:hAnsi="Times New Roman" w:cs="Times New Roman"/>
                <w:sz w:val="24"/>
                <w:szCs w:val="24"/>
              </w:rPr>
              <w:t>-наукової</w:t>
            </w:r>
            <w:r>
              <w:rPr>
                <w:rFonts w:ascii="Times New Roman" w:eastAsia="Times New Roman" w:hAnsi="Times New Roman" w:cs="Times New Roman"/>
                <w:color w:val="000000"/>
                <w:sz w:val="24"/>
                <w:szCs w:val="24"/>
              </w:rPr>
              <w:t xml:space="preserve"> програми (навчальні дисципліни, практики, кваліфікаційна робота)</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076811" w:rsidRDefault="0004391C">
            <w:pPr>
              <w:pBdr>
                <w:top w:val="nil"/>
                <w:left w:val="nil"/>
                <w:bottom w:val="nil"/>
                <w:right w:val="nil"/>
                <w:between w:val="nil"/>
              </w:pBdr>
              <w:spacing w:after="0" w:line="240" w:lineRule="auto"/>
              <w:ind w:left="-2" w:right="-10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кредитів</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 підсумкового контролю</w:t>
            </w:r>
          </w:p>
        </w:tc>
      </w:tr>
      <w:tr w:rsidR="00076811">
        <w:trPr>
          <w:trHeight w:val="350"/>
          <w:jc w:val="center"/>
        </w:trPr>
        <w:tc>
          <w:tcPr>
            <w:tcW w:w="5265" w:type="dxa"/>
            <w:gridSpan w:val="4"/>
            <w:tcBorders>
              <w:top w:val="single" w:sz="4" w:space="0" w:color="000000"/>
              <w:left w:val="single" w:sz="4" w:space="0" w:color="000000"/>
              <w:bottom w:val="single" w:sz="4" w:space="0" w:color="000000"/>
              <w:right w:val="single" w:sz="4" w:space="0" w:color="000000"/>
            </w:tcBorders>
            <w:vAlign w:val="center"/>
          </w:tcPr>
          <w:p w:rsidR="00076811" w:rsidRDefault="0004391C">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Проміжні контрольні заходи: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rPr>
              <w:t xml:space="preserve">вітування про </w:t>
            </w:r>
            <w:r>
              <w:rPr>
                <w:rFonts w:ascii="Times New Roman" w:eastAsia="Times New Roman" w:hAnsi="Times New Roman" w:cs="Times New Roman"/>
                <w:color w:val="000000"/>
                <w:sz w:val="24"/>
                <w:szCs w:val="24"/>
              </w:rPr>
              <w:t>виконання індивідуального плану роботи</w:t>
            </w:r>
            <w:r>
              <w:rPr>
                <w:rFonts w:ascii="Times New Roman" w:eastAsia="Times New Roman" w:hAnsi="Times New Roman" w:cs="Times New Roman"/>
                <w:color w:val="000000"/>
              </w:rPr>
              <w:t xml:space="preserve"> (надання інформації про: </w:t>
            </w:r>
            <w:r>
              <w:rPr>
                <w:rFonts w:ascii="Times New Roman" w:eastAsia="Times New Roman" w:hAnsi="Times New Roman" w:cs="Times New Roman"/>
                <w:color w:val="000000"/>
                <w:sz w:val="24"/>
                <w:szCs w:val="24"/>
              </w:rPr>
              <w:t xml:space="preserve">результати іспитів та заліків з дисциплін </w:t>
            </w:r>
            <w:r>
              <w:rPr>
                <w:rFonts w:ascii="Times New Roman" w:eastAsia="Times New Roman" w:hAnsi="Times New Roman" w:cs="Times New Roman"/>
                <w:color w:val="000000"/>
              </w:rPr>
              <w:t>(для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першого та другого років навчання), опубліковані наукові статті, тези доповідей конференцій, семінарів, симпозіумів та навчально-методичні праці, отримані патенти на винаходи чи корисні моделі, написані розділи дисертаційної роботи, акти впровадження розробок у виробництво та навчальний процес, участь в академічній мобільності тощо).</w:t>
            </w:r>
          </w:p>
          <w:p w:rsidR="00076811" w:rsidRDefault="0004391C">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Атестація: </w:t>
            </w:r>
            <w:r>
              <w:rPr>
                <w:rFonts w:ascii="Times New Roman" w:eastAsia="Times New Roman" w:hAnsi="Times New Roman" w:cs="Times New Roman"/>
                <w:color w:val="000000"/>
                <w:sz w:val="24"/>
                <w:szCs w:val="24"/>
              </w:rPr>
              <w:t>захист кваліфікаційної дисертаційної роботи доктора філософії (</w:t>
            </w:r>
            <w:proofErr w:type="spellStart"/>
            <w:r>
              <w:rPr>
                <w:rFonts w:ascii="Times New Roman" w:eastAsia="Times New Roman" w:hAnsi="Times New Roman" w:cs="Times New Roman"/>
                <w:color w:val="000000"/>
                <w:sz w:val="24"/>
                <w:szCs w:val="24"/>
              </w:rPr>
              <w:t>Dissertation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Defence</w:t>
            </w:r>
            <w:proofErr w:type="spellEnd"/>
            <w:r>
              <w:rPr>
                <w:rFonts w:ascii="Times New Roman" w:eastAsia="Times New Roman" w:hAnsi="Times New Roman" w:cs="Times New Roman"/>
                <w:color w:val="000000"/>
                <w:sz w:val="24"/>
                <w:szCs w:val="24"/>
              </w:rPr>
              <w:t>)</w:t>
            </w:r>
          </w:p>
        </w:tc>
        <w:tc>
          <w:tcPr>
            <w:tcW w:w="4530" w:type="dxa"/>
            <w:gridSpan w:val="4"/>
            <w:tcBorders>
              <w:top w:val="single" w:sz="4" w:space="0" w:color="000000"/>
              <w:left w:val="single" w:sz="4" w:space="0" w:color="000000"/>
              <w:bottom w:val="single" w:sz="4" w:space="0" w:color="000000"/>
              <w:right w:val="single" w:sz="4" w:space="0" w:color="000000"/>
            </w:tcBorders>
            <w:vAlign w:val="center"/>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076811">
        <w:trPr>
          <w:trHeight w:val="350"/>
          <w:jc w:val="center"/>
        </w:trPr>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А1</w:t>
            </w:r>
          </w:p>
        </w:tc>
        <w:tc>
          <w:tcPr>
            <w:tcW w:w="450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виконану наукову роботу (</w:t>
            </w:r>
            <w:proofErr w:type="spellStart"/>
            <w:r>
              <w:rPr>
                <w:rFonts w:ascii="Times New Roman" w:eastAsia="Times New Roman" w:hAnsi="Times New Roman" w:cs="Times New Roman"/>
                <w:color w:val="000000"/>
                <w:sz w:val="24"/>
                <w:szCs w:val="24"/>
              </w:rPr>
              <w:t>Report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Completed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Scientific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Work</w:t>
            </w:r>
            <w:proofErr w:type="spellEnd"/>
            <w:r>
              <w:rPr>
                <w:rFonts w:ascii="Times New Roman" w:eastAsia="Times New Roman" w:hAnsi="Times New Roman" w:cs="Times New Roman"/>
                <w:color w:val="000000"/>
                <w:sz w:val="24"/>
                <w:szCs w:val="24"/>
              </w:rPr>
              <w:t>)</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FFFFFF"/>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Проміжний звіт (1 семестр). Річний звіт за І рік (2 семестр)</w:t>
            </w:r>
          </w:p>
        </w:tc>
      </w:tr>
      <w:tr w:rsidR="00076811">
        <w:trPr>
          <w:trHeight w:val="350"/>
          <w:jc w:val="center"/>
        </w:trPr>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А2</w:t>
            </w:r>
          </w:p>
        </w:tc>
        <w:tc>
          <w:tcPr>
            <w:tcW w:w="450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виконану наукову роботу (</w:t>
            </w:r>
            <w:proofErr w:type="spellStart"/>
            <w:r>
              <w:rPr>
                <w:rFonts w:ascii="Times New Roman" w:eastAsia="Times New Roman" w:hAnsi="Times New Roman" w:cs="Times New Roman"/>
                <w:color w:val="000000"/>
                <w:sz w:val="24"/>
                <w:szCs w:val="24"/>
              </w:rPr>
              <w:t>Report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Completed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Scientific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Work</w:t>
            </w:r>
            <w:proofErr w:type="spellEnd"/>
            <w:r>
              <w:rPr>
                <w:rFonts w:ascii="Times New Roman" w:eastAsia="Times New Roman" w:hAnsi="Times New Roman" w:cs="Times New Roman"/>
                <w:color w:val="000000"/>
                <w:sz w:val="24"/>
                <w:szCs w:val="24"/>
              </w:rPr>
              <w:t>)</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FFFFFF"/>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Проміжний звіт (3 семестр). Річний звіт за П рік (4 семестр)</w:t>
            </w:r>
          </w:p>
        </w:tc>
      </w:tr>
      <w:tr w:rsidR="00076811">
        <w:trPr>
          <w:trHeight w:val="350"/>
          <w:jc w:val="center"/>
        </w:trPr>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A3</w:t>
            </w:r>
          </w:p>
        </w:tc>
        <w:tc>
          <w:tcPr>
            <w:tcW w:w="450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виконану наукову роботу (</w:t>
            </w:r>
            <w:proofErr w:type="spellStart"/>
            <w:r>
              <w:rPr>
                <w:rFonts w:ascii="Times New Roman" w:eastAsia="Times New Roman" w:hAnsi="Times New Roman" w:cs="Times New Roman"/>
                <w:color w:val="000000"/>
                <w:sz w:val="24"/>
                <w:szCs w:val="24"/>
              </w:rPr>
              <w:t>Report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Completed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Scientific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Work</w:t>
            </w:r>
            <w:proofErr w:type="spellEnd"/>
            <w:r>
              <w:rPr>
                <w:rFonts w:ascii="Times New Roman" w:eastAsia="Times New Roman" w:hAnsi="Times New Roman" w:cs="Times New Roman"/>
                <w:color w:val="000000"/>
                <w:sz w:val="24"/>
                <w:szCs w:val="24"/>
              </w:rPr>
              <w:t>)</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FFFFFF"/>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Проміжний звіт (5 семестр). Річний звіт за ПІ рис (6 семестр)</w:t>
            </w:r>
          </w:p>
        </w:tc>
      </w:tr>
      <w:tr w:rsidR="00076811">
        <w:trPr>
          <w:trHeight w:val="350"/>
          <w:jc w:val="center"/>
        </w:trPr>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А4</w:t>
            </w:r>
          </w:p>
        </w:tc>
        <w:tc>
          <w:tcPr>
            <w:tcW w:w="450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виконану наукову роботу (</w:t>
            </w:r>
            <w:proofErr w:type="spellStart"/>
            <w:r>
              <w:rPr>
                <w:rFonts w:ascii="Times New Roman" w:eastAsia="Times New Roman" w:hAnsi="Times New Roman" w:cs="Times New Roman"/>
                <w:color w:val="000000"/>
                <w:sz w:val="24"/>
                <w:szCs w:val="24"/>
              </w:rPr>
              <w:t>Report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Completed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Scientific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Work</w:t>
            </w:r>
            <w:proofErr w:type="spellEnd"/>
            <w:r>
              <w:rPr>
                <w:rFonts w:ascii="Times New Roman" w:eastAsia="Times New Roman" w:hAnsi="Times New Roman" w:cs="Times New Roman"/>
                <w:color w:val="000000"/>
                <w:sz w:val="24"/>
                <w:szCs w:val="24"/>
              </w:rPr>
              <w:t>)</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FFFFFF"/>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Проміжний звіт (7 семестр). Річний звіт за IV рік (8 семестр)</w:t>
            </w:r>
          </w:p>
        </w:tc>
      </w:tr>
      <w:tr w:rsidR="00076811">
        <w:trPr>
          <w:trHeight w:val="350"/>
          <w:jc w:val="center"/>
        </w:trPr>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A5</w:t>
            </w:r>
          </w:p>
        </w:tc>
        <w:tc>
          <w:tcPr>
            <w:tcW w:w="4500" w:type="dxa"/>
            <w:gridSpan w:val="3"/>
            <w:tcBorders>
              <w:top w:val="single" w:sz="4" w:space="0" w:color="000000"/>
              <w:left w:val="single" w:sz="4" w:space="0" w:color="000000"/>
              <w:bottom w:val="single" w:sz="4" w:space="0" w:color="000000"/>
              <w:right w:val="single" w:sz="4" w:space="0" w:color="000000"/>
            </w:tcBorders>
            <w:shd w:val="clear" w:color="auto" w:fill="FFFFFF"/>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Захист дисертації</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1,5</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Рукопис дисертації</w:t>
            </w:r>
          </w:p>
        </w:tc>
      </w:tr>
      <w:tr w:rsidR="00076811">
        <w:trPr>
          <w:trHeight w:val="350"/>
          <w:jc w:val="center"/>
        </w:trPr>
        <w:tc>
          <w:tcPr>
            <w:tcW w:w="5265" w:type="dxa"/>
            <w:gridSpan w:val="4"/>
            <w:tcBorders>
              <w:top w:val="single" w:sz="4" w:space="0" w:color="000000"/>
              <w:left w:val="single" w:sz="4" w:space="0" w:color="000000"/>
              <w:bottom w:val="single" w:sz="4" w:space="0" w:color="000000"/>
              <w:right w:val="single" w:sz="4" w:space="0" w:color="000000"/>
            </w:tcBorders>
            <w:vAlign w:val="center"/>
          </w:tcPr>
          <w:p w:rsidR="00076811" w:rsidRDefault="000768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9"/>
              <w:tblW w:w="3525" w:type="dxa"/>
              <w:tblInd w:w="0" w:type="dxa"/>
              <w:tblLayout w:type="fixed"/>
              <w:tblLook w:val="0000" w:firstRow="0" w:lastRow="0" w:firstColumn="0" w:lastColumn="0" w:noHBand="0" w:noVBand="0"/>
            </w:tblPr>
            <w:tblGrid>
              <w:gridCol w:w="3525"/>
            </w:tblGrid>
            <w:tr w:rsidR="00076811">
              <w:trPr>
                <w:trHeight w:val="109"/>
              </w:trPr>
              <w:tc>
                <w:tcPr>
                  <w:tcW w:w="3525" w:type="dxa"/>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Сумарно за науковою складовою </w:t>
                  </w:r>
                </w:p>
              </w:tc>
            </w:tr>
          </w:tbl>
          <w:p w:rsidR="00076811" w:rsidRDefault="00076811">
            <w:pPr>
              <w:pBdr>
                <w:top w:val="nil"/>
                <w:left w:val="nil"/>
                <w:bottom w:val="nil"/>
                <w:right w:val="nil"/>
                <w:between w:val="nil"/>
              </w:pBdr>
              <w:rPr>
                <w:color w:val="000000"/>
              </w:rPr>
            </w:pPr>
          </w:p>
        </w:tc>
        <w:tc>
          <w:tcPr>
            <w:tcW w:w="4530" w:type="dxa"/>
            <w:gridSpan w:val="4"/>
            <w:tcBorders>
              <w:top w:val="single" w:sz="4" w:space="0" w:color="000000"/>
              <w:left w:val="single" w:sz="4" w:space="0" w:color="000000"/>
              <w:bottom w:val="single" w:sz="4" w:space="0" w:color="000000"/>
              <w:right w:val="single" w:sz="4" w:space="0" w:color="000000"/>
            </w:tcBorders>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190,5</w:t>
            </w:r>
          </w:p>
        </w:tc>
      </w:tr>
      <w:tr w:rsidR="00076811">
        <w:trPr>
          <w:trHeight w:val="350"/>
          <w:jc w:val="center"/>
        </w:trPr>
        <w:tc>
          <w:tcPr>
            <w:tcW w:w="5265" w:type="dxa"/>
            <w:gridSpan w:val="4"/>
            <w:tcBorders>
              <w:top w:val="single" w:sz="4" w:space="0" w:color="000000"/>
              <w:left w:val="single" w:sz="4" w:space="0" w:color="000000"/>
              <w:bottom w:val="single" w:sz="4" w:space="0" w:color="000000"/>
              <w:right w:val="single" w:sz="4" w:space="0" w:color="000000"/>
            </w:tcBorders>
            <w:vAlign w:val="center"/>
          </w:tcPr>
          <w:p w:rsidR="00076811" w:rsidRDefault="0004391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3"/>
                <w:szCs w:val="23"/>
              </w:rPr>
              <w:t>ЗАГАЛЬНИЙ ОБСЯГ ОНП</w:t>
            </w:r>
          </w:p>
        </w:tc>
        <w:tc>
          <w:tcPr>
            <w:tcW w:w="4530" w:type="dxa"/>
            <w:gridSpan w:val="4"/>
            <w:tcBorders>
              <w:top w:val="single" w:sz="4" w:space="0" w:color="000000"/>
              <w:left w:val="single" w:sz="4" w:space="0" w:color="000000"/>
              <w:bottom w:val="single" w:sz="4" w:space="0" w:color="000000"/>
              <w:right w:val="single" w:sz="4" w:space="0" w:color="000000"/>
            </w:tcBorders>
            <w:vAlign w:val="center"/>
          </w:tcPr>
          <w:p w:rsidR="00076811" w:rsidRDefault="0004391C">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240,0</w:t>
            </w:r>
          </w:p>
        </w:tc>
      </w:tr>
    </w:tbl>
    <w:p w:rsidR="00076811" w:rsidRDefault="0004391C">
      <w:pPr>
        <w:pBdr>
          <w:top w:val="nil"/>
          <w:left w:val="nil"/>
          <w:bottom w:val="nil"/>
          <w:right w:val="nil"/>
          <w:between w:val="nil"/>
        </w:pBdr>
        <w:spacing w:before="240" w:after="24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xml:space="preserve">2.2. Рекомендований </w:t>
      </w:r>
      <w:proofErr w:type="spellStart"/>
      <w:r>
        <w:rPr>
          <w:rFonts w:ascii="Times New Roman" w:eastAsia="Times New Roman" w:hAnsi="Times New Roman" w:cs="Times New Roman"/>
          <w:b/>
          <w:bCs/>
          <w:color w:val="000000"/>
          <w:sz w:val="28"/>
          <w:szCs w:val="28"/>
        </w:rPr>
        <w:t>стейкхолдерами</w:t>
      </w:r>
      <w:proofErr w:type="spellEnd"/>
      <w:r>
        <w:rPr>
          <w:rFonts w:ascii="Times New Roman" w:eastAsia="Times New Roman" w:hAnsi="Times New Roman" w:cs="Times New Roman"/>
          <w:b/>
          <w:bCs/>
          <w:color w:val="000000"/>
          <w:sz w:val="28"/>
          <w:szCs w:val="28"/>
        </w:rPr>
        <w:t xml:space="preserve"> перелік вибіркових дисциплін</w:t>
      </w:r>
    </w:p>
    <w:p w:rsidR="00076811" w:rsidRDefault="0004391C">
      <w:pPr>
        <w:numPr>
          <w:ilvl w:val="0"/>
          <w:numId w:val="3"/>
        </w:numPr>
        <w:pBdr>
          <w:top w:val="nil"/>
          <w:left w:val="nil"/>
          <w:bottom w:val="nil"/>
          <w:right w:val="nil"/>
          <w:between w:val="nil"/>
        </w:pBdr>
        <w:spacing w:after="0" w:line="240" w:lineRule="auto"/>
        <w:ind w:left="3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Ідентифікація складних систем і об'єктів.</w:t>
      </w:r>
    </w:p>
    <w:p w:rsidR="00076811" w:rsidRDefault="0004391C">
      <w:pPr>
        <w:numPr>
          <w:ilvl w:val="0"/>
          <w:numId w:val="3"/>
        </w:numPr>
        <w:pBdr>
          <w:top w:val="nil"/>
          <w:left w:val="nil"/>
          <w:bottom w:val="nil"/>
          <w:right w:val="nil"/>
          <w:between w:val="nil"/>
        </w:pBdr>
        <w:spacing w:after="0" w:line="240" w:lineRule="auto"/>
        <w:ind w:left="3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Інтелектуальний аналіз даних.</w:t>
      </w:r>
    </w:p>
    <w:p w:rsidR="00076811" w:rsidRDefault="0004391C">
      <w:pPr>
        <w:numPr>
          <w:ilvl w:val="0"/>
          <w:numId w:val="3"/>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Розподілені та паралельні системи обчислень.</w:t>
      </w:r>
    </w:p>
    <w:p w:rsidR="00076811" w:rsidRDefault="0004391C">
      <w:pPr>
        <w:numPr>
          <w:ilvl w:val="0"/>
          <w:numId w:val="3"/>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Моделювання складних розподілених систем та об’єктів.</w:t>
      </w:r>
    </w:p>
    <w:p w:rsidR="00076811" w:rsidRDefault="0004391C">
      <w:pPr>
        <w:numPr>
          <w:ilvl w:val="0"/>
          <w:numId w:val="3"/>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Математичне моделювання процесів та об'єктів предметних областей.</w:t>
      </w:r>
    </w:p>
    <w:p w:rsidR="00076811" w:rsidRDefault="0004391C">
      <w:pPr>
        <w:numPr>
          <w:ilvl w:val="0"/>
          <w:numId w:val="3"/>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Менеджмент проєктів програмного забезпечення.</w:t>
      </w:r>
    </w:p>
    <w:p w:rsidR="00076811" w:rsidRDefault="0004391C">
      <w:pPr>
        <w:numPr>
          <w:ilvl w:val="0"/>
          <w:numId w:val="3"/>
        </w:numPr>
        <w:pBdr>
          <w:top w:val="nil"/>
          <w:left w:val="nil"/>
          <w:bottom w:val="nil"/>
          <w:right w:val="nil"/>
          <w:between w:val="nil"/>
        </w:pBdr>
        <w:spacing w:after="240" w:line="240" w:lineRule="auto"/>
        <w:ind w:left="357"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Основи технічної творчості та наукових досліджень</w:t>
      </w:r>
    </w:p>
    <w:p w:rsidR="00076811" w:rsidRDefault="0004391C">
      <w:pPr>
        <w:rPr>
          <w:rFonts w:ascii="Times New Roman" w:eastAsia="Times New Roman" w:hAnsi="Times New Roman" w:cs="Times New Roman"/>
          <w:b/>
          <w:bCs/>
          <w:color w:val="000000"/>
          <w:sz w:val="28"/>
          <w:szCs w:val="28"/>
        </w:rPr>
      </w:pPr>
      <w:bookmarkStart w:id="3" w:name="gt6h9ul7qefc" w:colFirst="0" w:colLast="0"/>
      <w:bookmarkEnd w:id="3"/>
      <w:r>
        <w:br w:type="page"/>
      </w:r>
    </w:p>
    <w:p w:rsidR="00076811" w:rsidRDefault="0004391C">
      <w:pPr>
        <w:pBdr>
          <w:top w:val="nil"/>
          <w:left w:val="nil"/>
          <w:bottom w:val="nil"/>
          <w:right w:val="nil"/>
          <w:between w:val="nil"/>
        </w:pBdr>
        <w:tabs>
          <w:tab w:val="left" w:pos="7380"/>
        </w:tabs>
        <w:spacing w:after="20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2.3. Структурно-логічна схема освітньо</w:t>
      </w:r>
      <w:r>
        <w:rPr>
          <w:rFonts w:ascii="Times New Roman" w:eastAsia="Times New Roman" w:hAnsi="Times New Roman" w:cs="Times New Roman"/>
          <w:b/>
          <w:bCs/>
          <w:sz w:val="28"/>
          <w:szCs w:val="28"/>
        </w:rPr>
        <w:t>-наукової</w:t>
      </w:r>
      <w:r>
        <w:rPr>
          <w:rFonts w:ascii="Times New Roman" w:eastAsia="Times New Roman" w:hAnsi="Times New Roman" w:cs="Times New Roman"/>
          <w:b/>
          <w:bCs/>
          <w:color w:val="000000"/>
          <w:sz w:val="28"/>
          <w:szCs w:val="28"/>
        </w:rPr>
        <w:t xml:space="preserve"> програми</w:t>
      </w:r>
    </w:p>
    <w:p w:rsidR="00076811" w:rsidRDefault="0004391C">
      <w:pPr>
        <w:pBdr>
          <w:top w:val="nil"/>
          <w:left w:val="nil"/>
          <w:bottom w:val="nil"/>
          <w:right w:val="nil"/>
          <w:between w:val="nil"/>
        </w:pBdr>
        <w:spacing w:before="240" w:after="240" w:line="240" w:lineRule="auto"/>
        <w:ind w:hanging="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2.3.1 Схема структури виконання компонент освітньо-наукової програми</w:t>
      </w:r>
    </w:p>
    <w:p w:rsidR="00076811" w:rsidRDefault="0004391C">
      <w:pPr>
        <w:pBdr>
          <w:top w:val="nil"/>
          <w:left w:val="nil"/>
          <w:bottom w:val="nil"/>
          <w:right w:val="nil"/>
          <w:between w:val="nil"/>
        </w:pBdr>
        <w:spacing w:before="240" w:after="240" w:line="240" w:lineRule="auto"/>
        <w:ind w:hanging="6"/>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uk-UA"/>
        </w:rPr>
        <w:drawing>
          <wp:inline distT="114300" distB="114300" distL="114300" distR="114300">
            <wp:extent cx="6119820" cy="4318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119820" cy="4318000"/>
                    </a:xfrm>
                    <a:prstGeom prst="rect">
                      <a:avLst/>
                    </a:prstGeom>
                    <a:ln/>
                  </pic:spPr>
                </pic:pic>
              </a:graphicData>
            </a:graphic>
          </wp:inline>
        </w:drawing>
      </w:r>
    </w:p>
    <w:p w:rsidR="00076811" w:rsidRDefault="0004391C">
      <w:pPr>
        <w:pBdr>
          <w:top w:val="nil"/>
          <w:left w:val="nil"/>
          <w:bottom w:val="nil"/>
          <w:right w:val="nil"/>
          <w:between w:val="nil"/>
        </w:pBdr>
        <w:tabs>
          <w:tab w:val="left" w:pos="1643"/>
        </w:tabs>
        <w:spacing w:before="81"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Форма атестації здобувачів вищої освіти.</w:t>
      </w:r>
    </w:p>
    <w:p w:rsidR="00076811" w:rsidRDefault="0004391C">
      <w:pPr>
        <w:widowControl w:val="0"/>
        <w:pBdr>
          <w:top w:val="nil"/>
          <w:left w:val="nil"/>
          <w:bottom w:val="nil"/>
          <w:right w:val="nil"/>
          <w:between w:val="nil"/>
        </w:pBdr>
        <w:spacing w:before="240" w:after="240" w:line="240" w:lineRule="auto"/>
        <w:ind w:right="20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Атестація здобувачів вищої освіти ступеня доктора філософії здійснюється у формі публічного захисту дисертації.</w:t>
      </w:r>
    </w:p>
    <w:p w:rsidR="00076811" w:rsidRDefault="0004391C">
      <w:pPr>
        <w:pBdr>
          <w:top w:val="nil"/>
          <w:left w:val="nil"/>
          <w:bottom w:val="nil"/>
          <w:right w:val="nil"/>
          <w:between w:val="nil"/>
        </w:pBdr>
        <w:tabs>
          <w:tab w:val="left" w:pos="1631"/>
        </w:tabs>
        <w:spacing w:after="0" w:line="240" w:lineRule="auto"/>
        <w:ind w:right="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Матриця відповідності програмних компетентностей компонентам освітньо</w:t>
      </w:r>
      <w:r>
        <w:rPr>
          <w:rFonts w:ascii="Times New Roman" w:eastAsia="Times New Roman" w:hAnsi="Times New Roman" w:cs="Times New Roman"/>
          <w:b/>
          <w:bCs/>
          <w:sz w:val="28"/>
          <w:szCs w:val="28"/>
        </w:rPr>
        <w:t>-наукової</w:t>
      </w:r>
      <w:r>
        <w:rPr>
          <w:rFonts w:ascii="Times New Roman" w:eastAsia="Times New Roman" w:hAnsi="Times New Roman" w:cs="Times New Roman"/>
          <w:b/>
          <w:bCs/>
          <w:color w:val="000000"/>
          <w:sz w:val="28"/>
          <w:szCs w:val="28"/>
        </w:rPr>
        <w:t xml:space="preserve"> програми</w:t>
      </w:r>
    </w:p>
    <w:p w:rsidR="00076811" w:rsidRDefault="00076811">
      <w:pPr>
        <w:pBdr>
          <w:top w:val="nil"/>
          <w:left w:val="nil"/>
          <w:bottom w:val="nil"/>
          <w:right w:val="nil"/>
          <w:between w:val="nil"/>
        </w:pBdr>
        <w:tabs>
          <w:tab w:val="left" w:pos="1631"/>
        </w:tabs>
        <w:spacing w:after="0" w:line="240" w:lineRule="auto"/>
        <w:ind w:right="3"/>
        <w:jc w:val="center"/>
        <w:rPr>
          <w:rFonts w:ascii="Times New Roman" w:eastAsia="Times New Roman" w:hAnsi="Times New Roman" w:cs="Times New Roman"/>
          <w:color w:val="000000"/>
          <w:sz w:val="16"/>
          <w:szCs w:val="16"/>
        </w:rPr>
      </w:pPr>
    </w:p>
    <w:tbl>
      <w:tblPr>
        <w:tblStyle w:val="aa"/>
        <w:tblW w:w="850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51"/>
        <w:gridCol w:w="851"/>
        <w:gridCol w:w="851"/>
        <w:gridCol w:w="850"/>
        <w:gridCol w:w="850"/>
        <w:gridCol w:w="850"/>
        <w:gridCol w:w="850"/>
        <w:gridCol w:w="850"/>
        <w:gridCol w:w="850"/>
        <w:gridCol w:w="850"/>
      </w:tblGrid>
      <w:tr w:rsidR="00076811">
        <w:trPr>
          <w:cantSplit/>
          <w:trHeight w:val="283"/>
          <w:jc w:val="center"/>
        </w:trPr>
        <w:tc>
          <w:tcPr>
            <w:tcW w:w="850" w:type="dxa"/>
            <w:tcMar>
              <w:left w:w="0" w:type="dxa"/>
              <w:right w:w="0" w:type="dxa"/>
            </w:tcMar>
          </w:tcPr>
          <w:p w:rsidR="00076811" w:rsidRDefault="0007681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850" w:type="dxa"/>
            <w:tcMar>
              <w:left w:w="0" w:type="dxa"/>
              <w:right w:w="0" w:type="dxa"/>
            </w:tcMar>
          </w:tcPr>
          <w:p w:rsidR="00076811" w:rsidRDefault="0004391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ОК1</w:t>
            </w:r>
          </w:p>
        </w:tc>
        <w:tc>
          <w:tcPr>
            <w:tcW w:w="850" w:type="dxa"/>
            <w:tcMar>
              <w:left w:w="0" w:type="dxa"/>
              <w:right w:w="0" w:type="dxa"/>
            </w:tcMar>
          </w:tcPr>
          <w:p w:rsidR="00076811" w:rsidRDefault="0004391C">
            <w:pPr>
              <w:widowControl w:val="0"/>
              <w:pBdr>
                <w:top w:val="nil"/>
                <w:left w:val="nil"/>
                <w:bottom w:val="nil"/>
                <w:right w:val="nil"/>
                <w:between w:val="nil"/>
              </w:pBdr>
              <w:spacing w:before="1" w:after="0"/>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ОК2</w:t>
            </w:r>
          </w:p>
        </w:tc>
        <w:tc>
          <w:tcPr>
            <w:tcW w:w="850" w:type="dxa"/>
            <w:tcMar>
              <w:left w:w="0" w:type="dxa"/>
              <w:right w:w="0" w:type="dxa"/>
            </w:tcMar>
          </w:tcPr>
          <w:p w:rsidR="00076811" w:rsidRDefault="0004391C">
            <w:pPr>
              <w:widowControl w:val="0"/>
              <w:pBdr>
                <w:top w:val="nil"/>
                <w:left w:val="nil"/>
                <w:bottom w:val="nil"/>
                <w:right w:val="nil"/>
                <w:between w:val="nil"/>
              </w:pBdr>
              <w:spacing w:before="1" w:after="0"/>
              <w:ind w:left="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ОК3</w:t>
            </w:r>
          </w:p>
        </w:tc>
        <w:tc>
          <w:tcPr>
            <w:tcW w:w="850" w:type="dxa"/>
            <w:tcMar>
              <w:left w:w="0" w:type="dxa"/>
              <w:right w:w="0" w:type="dxa"/>
            </w:tcMar>
          </w:tcPr>
          <w:p w:rsidR="00076811" w:rsidRDefault="0004391C">
            <w:pPr>
              <w:widowControl w:val="0"/>
              <w:pBdr>
                <w:top w:val="nil"/>
                <w:left w:val="nil"/>
                <w:bottom w:val="nil"/>
                <w:right w:val="nil"/>
                <w:between w:val="nil"/>
              </w:pBdr>
              <w:spacing w:before="1" w:after="0"/>
              <w:ind w:left="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ОК4</w:t>
            </w:r>
          </w:p>
        </w:tc>
        <w:tc>
          <w:tcPr>
            <w:tcW w:w="850" w:type="dxa"/>
            <w:tcMar>
              <w:left w:w="0" w:type="dxa"/>
              <w:right w:w="0" w:type="dxa"/>
            </w:tcMar>
          </w:tcPr>
          <w:p w:rsidR="00076811" w:rsidRDefault="0004391C">
            <w:pPr>
              <w:widowControl w:val="0"/>
              <w:pBdr>
                <w:top w:val="nil"/>
                <w:left w:val="nil"/>
                <w:bottom w:val="nil"/>
                <w:right w:val="nil"/>
                <w:between w:val="nil"/>
              </w:pBdr>
              <w:spacing w:before="1" w:after="0"/>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ОК5</w:t>
            </w:r>
          </w:p>
        </w:tc>
        <w:tc>
          <w:tcPr>
            <w:tcW w:w="850" w:type="dxa"/>
            <w:tcMar>
              <w:left w:w="0" w:type="dxa"/>
              <w:right w:w="0" w:type="dxa"/>
            </w:tcMar>
          </w:tcPr>
          <w:p w:rsidR="00076811" w:rsidRDefault="0004391C">
            <w:pPr>
              <w:widowControl w:val="0"/>
              <w:pBdr>
                <w:top w:val="nil"/>
                <w:left w:val="nil"/>
                <w:bottom w:val="nil"/>
                <w:right w:val="nil"/>
                <w:between w:val="nil"/>
              </w:pBdr>
              <w:spacing w:before="1" w:after="0"/>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ОК6</w:t>
            </w:r>
          </w:p>
        </w:tc>
        <w:tc>
          <w:tcPr>
            <w:tcW w:w="850" w:type="dxa"/>
            <w:tcMar>
              <w:left w:w="0" w:type="dxa"/>
              <w:right w:w="0" w:type="dxa"/>
            </w:tcMar>
          </w:tcPr>
          <w:p w:rsidR="00076811" w:rsidRDefault="0004391C">
            <w:pPr>
              <w:widowControl w:val="0"/>
              <w:pBdr>
                <w:top w:val="nil"/>
                <w:left w:val="nil"/>
                <w:bottom w:val="nil"/>
                <w:right w:val="nil"/>
                <w:between w:val="nil"/>
              </w:pBdr>
              <w:spacing w:before="1" w:after="0"/>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ОК7</w:t>
            </w:r>
          </w:p>
        </w:tc>
        <w:tc>
          <w:tcPr>
            <w:tcW w:w="850" w:type="dxa"/>
            <w:tcMar>
              <w:left w:w="0" w:type="dxa"/>
              <w:right w:w="0" w:type="dxa"/>
            </w:tcMar>
          </w:tcPr>
          <w:p w:rsidR="00076811" w:rsidRDefault="0004391C">
            <w:pPr>
              <w:widowControl w:val="0"/>
              <w:pBdr>
                <w:top w:val="nil"/>
                <w:left w:val="nil"/>
                <w:bottom w:val="nil"/>
                <w:right w:val="nil"/>
                <w:between w:val="nil"/>
              </w:pBdr>
              <w:spacing w:before="1" w:after="0"/>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ОК8</w:t>
            </w:r>
          </w:p>
        </w:tc>
        <w:tc>
          <w:tcPr>
            <w:tcW w:w="850" w:type="dxa"/>
            <w:tcMar>
              <w:left w:w="0" w:type="dxa"/>
              <w:right w:w="0" w:type="dxa"/>
            </w:tcMar>
          </w:tcPr>
          <w:p w:rsidR="00076811" w:rsidRDefault="0004391C">
            <w:pPr>
              <w:widowControl w:val="0"/>
              <w:pBdr>
                <w:top w:val="nil"/>
                <w:left w:val="nil"/>
                <w:bottom w:val="nil"/>
                <w:right w:val="nil"/>
                <w:between w:val="nil"/>
              </w:pBdr>
              <w:spacing w:before="1" w:after="0"/>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ОК9</w:t>
            </w:r>
          </w:p>
        </w:tc>
      </w:tr>
      <w:tr w:rsidR="00076811">
        <w:trPr>
          <w:cantSplit/>
          <w:trHeight w:val="283"/>
          <w:jc w:val="center"/>
        </w:trPr>
        <w:tc>
          <w:tcPr>
            <w:tcW w:w="850" w:type="dxa"/>
            <w:tcMar>
              <w:left w:w="0" w:type="dxa"/>
              <w:right w:w="0" w:type="dxa"/>
            </w:tcMar>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ЗК1</w:t>
            </w:r>
          </w:p>
        </w:tc>
        <w:tc>
          <w:tcPr>
            <w:tcW w:w="850" w:type="dxa"/>
            <w:tcMar>
              <w:left w:w="0" w:type="dxa"/>
              <w:right w:w="0" w:type="dxa"/>
            </w:tcMar>
            <w:vAlign w:val="center"/>
          </w:tcPr>
          <w:p w:rsidR="00076811" w:rsidRDefault="0004391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0" w:type="dxa"/>
            <w:tcMar>
              <w:left w:w="0" w:type="dxa"/>
              <w:right w:w="0" w:type="dxa"/>
            </w:tcMar>
            <w:vAlign w:val="center"/>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0" w:type="dxa"/>
            <w:tcMar>
              <w:left w:w="0" w:type="dxa"/>
              <w:right w:w="0" w:type="dxa"/>
            </w:tcMar>
            <w:vAlign w:val="center"/>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4391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076811">
        <w:trPr>
          <w:cantSplit/>
          <w:trHeight w:val="283"/>
          <w:jc w:val="center"/>
        </w:trPr>
        <w:tc>
          <w:tcPr>
            <w:tcW w:w="850" w:type="dxa"/>
            <w:tcMar>
              <w:left w:w="0" w:type="dxa"/>
              <w:right w:w="0" w:type="dxa"/>
            </w:tcMar>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ЗК2</w:t>
            </w: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4391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4391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4391C">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0" w:type="dxa"/>
            <w:tcMar>
              <w:left w:w="0" w:type="dxa"/>
              <w:right w:w="0" w:type="dxa"/>
            </w:tcMar>
            <w:vAlign w:val="center"/>
          </w:tcPr>
          <w:p w:rsidR="00076811" w:rsidRDefault="0004391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076811">
        <w:trPr>
          <w:cantSplit/>
          <w:trHeight w:val="283"/>
          <w:jc w:val="center"/>
        </w:trPr>
        <w:tc>
          <w:tcPr>
            <w:tcW w:w="850" w:type="dxa"/>
            <w:tcMar>
              <w:left w:w="0" w:type="dxa"/>
              <w:right w:w="0" w:type="dxa"/>
            </w:tcMar>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ЗК3</w:t>
            </w:r>
          </w:p>
        </w:tc>
        <w:tc>
          <w:tcPr>
            <w:tcW w:w="850" w:type="dxa"/>
            <w:tcMar>
              <w:left w:w="0" w:type="dxa"/>
              <w:right w:w="0" w:type="dxa"/>
            </w:tcMar>
            <w:vAlign w:val="center"/>
          </w:tcPr>
          <w:p w:rsidR="00076811" w:rsidRDefault="0004391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076811">
        <w:trPr>
          <w:cantSplit/>
          <w:trHeight w:val="283"/>
          <w:jc w:val="center"/>
        </w:trPr>
        <w:tc>
          <w:tcPr>
            <w:tcW w:w="850" w:type="dxa"/>
            <w:tcMar>
              <w:left w:w="0" w:type="dxa"/>
              <w:right w:w="0" w:type="dxa"/>
            </w:tcMar>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ЗК4</w:t>
            </w:r>
          </w:p>
        </w:tc>
        <w:tc>
          <w:tcPr>
            <w:tcW w:w="850" w:type="dxa"/>
            <w:tcMar>
              <w:left w:w="0" w:type="dxa"/>
              <w:right w:w="0" w:type="dxa"/>
            </w:tcMar>
            <w:vAlign w:val="center"/>
          </w:tcPr>
          <w:p w:rsidR="00076811" w:rsidRDefault="0004391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768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850" w:type="dxa"/>
            <w:tcMar>
              <w:left w:w="0" w:type="dxa"/>
              <w:right w:w="0" w:type="dxa"/>
            </w:tcMar>
            <w:vAlign w:val="center"/>
          </w:tcPr>
          <w:p w:rsidR="00076811" w:rsidRDefault="0004391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0" w:type="dxa"/>
            <w:tcMar>
              <w:left w:w="0" w:type="dxa"/>
              <w:right w:w="0" w:type="dxa"/>
            </w:tcMar>
            <w:vAlign w:val="center"/>
          </w:tcPr>
          <w:p w:rsidR="00076811" w:rsidRDefault="0004391C">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076811">
        <w:trPr>
          <w:cantSplit/>
          <w:trHeight w:val="283"/>
          <w:jc w:val="center"/>
        </w:trPr>
        <w:tc>
          <w:tcPr>
            <w:tcW w:w="850" w:type="dxa"/>
            <w:tcMar>
              <w:left w:w="0" w:type="dxa"/>
              <w:right w:w="0" w:type="dxa"/>
            </w:tcMar>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ФК1</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r>
      <w:tr w:rsidR="00076811">
        <w:trPr>
          <w:cantSplit/>
          <w:trHeight w:val="283"/>
          <w:jc w:val="center"/>
        </w:trPr>
        <w:tc>
          <w:tcPr>
            <w:tcW w:w="850" w:type="dxa"/>
            <w:tcMar>
              <w:left w:w="0" w:type="dxa"/>
              <w:right w:w="0" w:type="dxa"/>
            </w:tcMar>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ФК2</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cantSplit/>
          <w:trHeight w:val="283"/>
          <w:jc w:val="center"/>
        </w:trPr>
        <w:tc>
          <w:tcPr>
            <w:tcW w:w="850" w:type="dxa"/>
            <w:tcMar>
              <w:left w:w="0" w:type="dxa"/>
              <w:right w:w="0" w:type="dxa"/>
            </w:tcMar>
          </w:tcPr>
          <w:p w:rsidR="00076811" w:rsidRDefault="0004391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ФК3</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r>
      <w:tr w:rsidR="00076811">
        <w:trPr>
          <w:cantSplit/>
          <w:trHeight w:val="283"/>
          <w:jc w:val="center"/>
        </w:trPr>
        <w:tc>
          <w:tcPr>
            <w:tcW w:w="850" w:type="dxa"/>
            <w:tcMar>
              <w:left w:w="0" w:type="dxa"/>
              <w:right w:w="0" w:type="dxa"/>
            </w:tcMar>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ФК4</w:t>
            </w: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r>
      <w:tr w:rsidR="00076811">
        <w:trPr>
          <w:cantSplit/>
          <w:trHeight w:val="283"/>
          <w:jc w:val="center"/>
        </w:trPr>
        <w:tc>
          <w:tcPr>
            <w:tcW w:w="850" w:type="dxa"/>
            <w:tcMar>
              <w:left w:w="0" w:type="dxa"/>
              <w:right w:w="0" w:type="dxa"/>
            </w:tcMar>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ФК5</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r>
      <w:tr w:rsidR="00076811">
        <w:trPr>
          <w:cantSplit/>
          <w:trHeight w:val="283"/>
          <w:jc w:val="center"/>
        </w:trPr>
        <w:tc>
          <w:tcPr>
            <w:tcW w:w="850" w:type="dxa"/>
            <w:tcMar>
              <w:left w:w="0" w:type="dxa"/>
              <w:right w:w="0" w:type="dxa"/>
            </w:tcMar>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ФК6</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cantSplit/>
          <w:trHeight w:val="283"/>
          <w:jc w:val="center"/>
        </w:trPr>
        <w:tc>
          <w:tcPr>
            <w:tcW w:w="850" w:type="dxa"/>
            <w:tcMar>
              <w:left w:w="0" w:type="dxa"/>
              <w:right w:w="0" w:type="dxa"/>
            </w:tcMar>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ФК7</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cantSplit/>
          <w:trHeight w:val="283"/>
          <w:jc w:val="center"/>
        </w:trPr>
        <w:tc>
          <w:tcPr>
            <w:tcW w:w="850" w:type="dxa"/>
            <w:tcMar>
              <w:left w:w="0" w:type="dxa"/>
              <w:right w:w="0" w:type="dxa"/>
            </w:tcMar>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ФК8</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r>
      <w:tr w:rsidR="00076811">
        <w:trPr>
          <w:cantSplit/>
          <w:trHeight w:val="283"/>
          <w:jc w:val="center"/>
        </w:trPr>
        <w:tc>
          <w:tcPr>
            <w:tcW w:w="850" w:type="dxa"/>
            <w:tcMar>
              <w:left w:w="0" w:type="dxa"/>
              <w:right w:w="0" w:type="dxa"/>
            </w:tcMar>
          </w:tcPr>
          <w:p w:rsidR="00076811" w:rsidRDefault="0004391C">
            <w:pPr>
              <w:widowControl w:val="0"/>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ФК9*</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cantSplit/>
          <w:trHeight w:val="283"/>
          <w:jc w:val="center"/>
        </w:trPr>
        <w:tc>
          <w:tcPr>
            <w:tcW w:w="850" w:type="dxa"/>
            <w:tcMar>
              <w:left w:w="0" w:type="dxa"/>
              <w:right w:w="0" w:type="dxa"/>
            </w:tcMar>
          </w:tcPr>
          <w:p w:rsidR="00076811" w:rsidRDefault="0004391C">
            <w:pPr>
              <w:widowControl w:val="0"/>
              <w:spacing w:after="0"/>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ФК10*</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c>
          <w:tcPr>
            <w:tcW w:w="850" w:type="dxa"/>
            <w:tcMar>
              <w:left w:w="0" w:type="dxa"/>
              <w:right w:w="0" w:type="dxa"/>
            </w:tcMar>
            <w:vAlign w:val="center"/>
          </w:tcPr>
          <w:p w:rsidR="00076811" w:rsidRDefault="00076811">
            <w:pPr>
              <w:widowControl w:val="0"/>
              <w:spacing w:after="0" w:line="276" w:lineRule="auto"/>
              <w:rPr>
                <w:rFonts w:ascii="Times New Roman" w:eastAsia="Times New Roman" w:hAnsi="Times New Roman" w:cs="Times New Roman"/>
                <w:sz w:val="24"/>
                <w:szCs w:val="24"/>
              </w:rPr>
            </w:pPr>
          </w:p>
        </w:tc>
      </w:tr>
    </w:tbl>
    <w:p w:rsidR="00076811" w:rsidRDefault="0004391C">
      <w:pPr>
        <w:pBdr>
          <w:top w:val="nil"/>
          <w:left w:val="nil"/>
          <w:bottom w:val="nil"/>
          <w:right w:val="nil"/>
          <w:between w:val="nil"/>
        </w:pBdr>
        <w:tabs>
          <w:tab w:val="left" w:pos="1631"/>
        </w:tabs>
        <w:spacing w:before="240" w:after="240" w:line="240" w:lineRule="auto"/>
        <w:ind w:right="6"/>
        <w:jc w:val="center"/>
        <w:rPr>
          <w:rFonts w:ascii="Times New Roman" w:eastAsia="Times New Roman" w:hAnsi="Times New Roman" w:cs="Times New Roman"/>
          <w:color w:val="000000"/>
          <w:sz w:val="28"/>
          <w:szCs w:val="28"/>
        </w:rPr>
      </w:pPr>
      <w:bookmarkStart w:id="4" w:name="t4nd0rsg2je" w:colFirst="0" w:colLast="0"/>
      <w:bookmarkEnd w:id="4"/>
      <w:r>
        <w:rPr>
          <w:rFonts w:ascii="Times New Roman" w:eastAsia="Times New Roman" w:hAnsi="Times New Roman" w:cs="Times New Roman"/>
          <w:b/>
          <w:bCs/>
          <w:color w:val="000000"/>
          <w:sz w:val="28"/>
          <w:szCs w:val="28"/>
        </w:rPr>
        <w:lastRenderedPageBreak/>
        <w:t>5. Матриця забезпечення програмних результатів навчання (ПРН) відповідними компонентами освітньо</w:t>
      </w:r>
      <w:r>
        <w:rPr>
          <w:rFonts w:ascii="Times New Roman" w:eastAsia="Times New Roman" w:hAnsi="Times New Roman" w:cs="Times New Roman"/>
          <w:b/>
          <w:bCs/>
          <w:sz w:val="28"/>
          <w:szCs w:val="28"/>
        </w:rPr>
        <w:t>-наукової</w:t>
      </w:r>
      <w:r>
        <w:rPr>
          <w:rFonts w:ascii="Times New Roman" w:eastAsia="Times New Roman" w:hAnsi="Times New Roman" w:cs="Times New Roman"/>
          <w:b/>
          <w:bCs/>
          <w:color w:val="000000"/>
          <w:sz w:val="28"/>
          <w:szCs w:val="28"/>
        </w:rPr>
        <w:t xml:space="preserve"> програми</w:t>
      </w:r>
    </w:p>
    <w:p w:rsidR="00076811" w:rsidRDefault="00076811">
      <w:pPr>
        <w:pBdr>
          <w:top w:val="nil"/>
          <w:left w:val="nil"/>
          <w:bottom w:val="nil"/>
          <w:right w:val="nil"/>
          <w:between w:val="nil"/>
        </w:pBdr>
        <w:tabs>
          <w:tab w:val="left" w:pos="1631"/>
        </w:tabs>
        <w:spacing w:after="0" w:line="240" w:lineRule="auto"/>
        <w:ind w:right="3"/>
        <w:jc w:val="center"/>
        <w:rPr>
          <w:rFonts w:ascii="Times New Roman" w:eastAsia="Times New Roman" w:hAnsi="Times New Roman" w:cs="Times New Roman"/>
          <w:color w:val="000000"/>
          <w:sz w:val="16"/>
          <w:szCs w:val="16"/>
        </w:rPr>
      </w:pPr>
    </w:p>
    <w:tbl>
      <w:tblPr>
        <w:tblStyle w:val="ab"/>
        <w:tblW w:w="8730" w:type="dxa"/>
        <w:jc w:val="center"/>
        <w:tblInd w:w="0" w:type="dxa"/>
        <w:tblLayout w:type="fixed"/>
        <w:tblLook w:val="0000" w:firstRow="0" w:lastRow="0" w:firstColumn="0" w:lastColumn="0" w:noHBand="0" w:noVBand="0"/>
      </w:tblPr>
      <w:tblGrid>
        <w:gridCol w:w="1186"/>
        <w:gridCol w:w="805"/>
        <w:gridCol w:w="754"/>
        <w:gridCol w:w="855"/>
        <w:gridCol w:w="855"/>
        <w:gridCol w:w="855"/>
        <w:gridCol w:w="855"/>
        <w:gridCol w:w="855"/>
        <w:gridCol w:w="855"/>
        <w:gridCol w:w="855"/>
      </w:tblGrid>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7681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80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rPr>
            </w:pPr>
            <w:r>
              <w:rPr>
                <w:rFonts w:ascii="Times New Roman" w:eastAsia="Times New Roman" w:hAnsi="Times New Roman" w:cs="Times New Roman"/>
                <w:color w:val="000000"/>
              </w:rPr>
              <w:t>ОК1</w:t>
            </w:r>
          </w:p>
        </w:tc>
        <w:tc>
          <w:tcPr>
            <w:tcW w:w="754"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8"/>
              <w:rPr>
                <w:rFonts w:ascii="Times New Roman" w:eastAsia="Times New Roman" w:hAnsi="Times New Roman" w:cs="Times New Roman"/>
                <w:color w:val="000000"/>
              </w:rPr>
            </w:pPr>
            <w:r>
              <w:rPr>
                <w:rFonts w:ascii="Times New Roman" w:eastAsia="Times New Roman" w:hAnsi="Times New Roman" w:cs="Times New Roman"/>
                <w:color w:val="000000"/>
              </w:rPr>
              <w:t>ОК2</w:t>
            </w:r>
          </w:p>
        </w:tc>
        <w:tc>
          <w:tcPr>
            <w:tcW w:w="85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rPr>
            </w:pPr>
            <w:r>
              <w:rPr>
                <w:rFonts w:ascii="Times New Roman" w:eastAsia="Times New Roman" w:hAnsi="Times New Roman" w:cs="Times New Roman"/>
                <w:color w:val="000000"/>
              </w:rPr>
              <w:t>ОК3</w:t>
            </w:r>
          </w:p>
        </w:tc>
        <w:tc>
          <w:tcPr>
            <w:tcW w:w="85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rPr>
            </w:pPr>
            <w:r>
              <w:rPr>
                <w:rFonts w:ascii="Times New Roman" w:eastAsia="Times New Roman" w:hAnsi="Times New Roman" w:cs="Times New Roman"/>
                <w:color w:val="000000"/>
              </w:rPr>
              <w:t>ОК4</w:t>
            </w:r>
          </w:p>
        </w:tc>
        <w:tc>
          <w:tcPr>
            <w:tcW w:w="85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rPr>
            </w:pPr>
            <w:r>
              <w:rPr>
                <w:rFonts w:ascii="Times New Roman" w:eastAsia="Times New Roman" w:hAnsi="Times New Roman" w:cs="Times New Roman"/>
                <w:color w:val="000000"/>
              </w:rPr>
              <w:t>ОК5</w:t>
            </w:r>
          </w:p>
        </w:tc>
        <w:tc>
          <w:tcPr>
            <w:tcW w:w="85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rPr>
            </w:pPr>
            <w:r>
              <w:rPr>
                <w:rFonts w:ascii="Times New Roman" w:eastAsia="Times New Roman" w:hAnsi="Times New Roman" w:cs="Times New Roman"/>
                <w:color w:val="000000"/>
              </w:rPr>
              <w:t>ОК6</w:t>
            </w:r>
          </w:p>
        </w:tc>
        <w:tc>
          <w:tcPr>
            <w:tcW w:w="85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rPr>
            </w:pPr>
            <w:r>
              <w:rPr>
                <w:rFonts w:ascii="Times New Roman" w:eastAsia="Times New Roman" w:hAnsi="Times New Roman" w:cs="Times New Roman"/>
                <w:color w:val="000000"/>
              </w:rPr>
              <w:t>ОК7</w:t>
            </w:r>
          </w:p>
        </w:tc>
        <w:tc>
          <w:tcPr>
            <w:tcW w:w="85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rPr>
            </w:pPr>
            <w:r>
              <w:rPr>
                <w:rFonts w:ascii="Times New Roman" w:eastAsia="Times New Roman" w:hAnsi="Times New Roman" w:cs="Times New Roman"/>
                <w:color w:val="000000"/>
              </w:rPr>
              <w:t>ОК8</w:t>
            </w:r>
          </w:p>
        </w:tc>
        <w:tc>
          <w:tcPr>
            <w:tcW w:w="855"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rPr>
            </w:pPr>
            <w:r>
              <w:rPr>
                <w:rFonts w:ascii="Times New Roman" w:eastAsia="Times New Roman" w:hAnsi="Times New Roman" w:cs="Times New Roman"/>
                <w:color w:val="000000"/>
              </w:rPr>
              <w:t>ОК9</w:t>
            </w:r>
          </w:p>
        </w:tc>
      </w:tr>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before="1"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w:t>
            </w:r>
          </w:p>
        </w:tc>
        <w:tc>
          <w:tcPr>
            <w:tcW w:w="80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4"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ПРН2</w:t>
            </w:r>
          </w:p>
        </w:tc>
        <w:tc>
          <w:tcPr>
            <w:tcW w:w="8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75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ПРН3</w:t>
            </w:r>
          </w:p>
        </w:tc>
        <w:tc>
          <w:tcPr>
            <w:tcW w:w="8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75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ПРН4</w:t>
            </w:r>
          </w:p>
        </w:tc>
        <w:tc>
          <w:tcPr>
            <w:tcW w:w="8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ПРН5</w:t>
            </w:r>
          </w:p>
        </w:tc>
        <w:tc>
          <w:tcPr>
            <w:tcW w:w="8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75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ПРН6</w:t>
            </w:r>
          </w:p>
        </w:tc>
        <w:tc>
          <w:tcPr>
            <w:tcW w:w="8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75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ПРН7</w:t>
            </w:r>
          </w:p>
        </w:tc>
        <w:tc>
          <w:tcPr>
            <w:tcW w:w="8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75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ПРН8</w:t>
            </w:r>
          </w:p>
        </w:tc>
        <w:tc>
          <w:tcPr>
            <w:tcW w:w="8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75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ПРН9</w:t>
            </w:r>
          </w:p>
        </w:tc>
        <w:tc>
          <w:tcPr>
            <w:tcW w:w="8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75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r>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ПРН10</w:t>
            </w:r>
          </w:p>
        </w:tc>
        <w:tc>
          <w:tcPr>
            <w:tcW w:w="8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r>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ПРН11</w:t>
            </w:r>
          </w:p>
        </w:tc>
        <w:tc>
          <w:tcPr>
            <w:tcW w:w="8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75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ПРН12</w:t>
            </w:r>
          </w:p>
        </w:tc>
        <w:tc>
          <w:tcPr>
            <w:tcW w:w="8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754"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trHeight w:val="283"/>
          <w:jc w:val="center"/>
        </w:trPr>
        <w:tc>
          <w:tcPr>
            <w:tcW w:w="1186" w:type="dxa"/>
            <w:tcBorders>
              <w:top w:val="single" w:sz="4" w:space="0" w:color="000000"/>
              <w:left w:val="single" w:sz="4" w:space="0" w:color="000000"/>
              <w:bottom w:val="single" w:sz="4" w:space="0" w:color="000000"/>
              <w:right w:val="single" w:sz="4" w:space="0" w:color="000000"/>
            </w:tcBorders>
          </w:tcPr>
          <w:p w:rsidR="00076811" w:rsidRDefault="0004391C">
            <w:pPr>
              <w:widowControl w:val="0"/>
              <w:pBdr>
                <w:top w:val="nil"/>
                <w:left w:val="nil"/>
                <w:bottom w:val="nil"/>
                <w:right w:val="nil"/>
                <w:between w:val="nil"/>
              </w:pBdr>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ПРН13</w:t>
            </w:r>
          </w:p>
        </w:tc>
        <w:tc>
          <w:tcPr>
            <w:tcW w:w="805" w:type="dxa"/>
            <w:tcBorders>
              <w:top w:val="single" w:sz="5" w:space="0" w:color="CCCCCC"/>
              <w:left w:val="single" w:sz="5" w:space="0" w:color="000000"/>
              <w:bottom w:val="single" w:sz="6"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4" w:type="dxa"/>
            <w:tcBorders>
              <w:top w:val="single" w:sz="5" w:space="0" w:color="CCCCCC"/>
              <w:left w:val="single" w:sz="5" w:space="0" w:color="CCCCCC"/>
              <w:bottom w:val="single" w:sz="6"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6"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6"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6"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6"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6"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5" w:space="0" w:color="CCCCCC"/>
              <w:left w:val="single" w:sz="5" w:space="0" w:color="CCCCCC"/>
              <w:bottom w:val="single" w:sz="6" w:space="0" w:color="000000"/>
              <w:right w:val="single" w:sz="5"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5" w:space="0" w:color="CCCCCC"/>
              <w:left w:val="single" w:sz="5" w:space="0" w:color="CCCCCC"/>
              <w:bottom w:val="single" w:sz="6" w:space="0" w:color="000000"/>
              <w:right w:val="single" w:sz="5"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trHeight w:val="283"/>
          <w:jc w:val="center"/>
        </w:trPr>
        <w:tc>
          <w:tcPr>
            <w:tcW w:w="1186" w:type="dxa"/>
            <w:tcBorders>
              <w:top w:val="single" w:sz="4" w:space="0" w:color="000000"/>
              <w:left w:val="single" w:sz="4" w:space="0" w:color="000000"/>
              <w:bottom w:val="single" w:sz="4" w:space="0" w:color="000000"/>
              <w:right w:val="single" w:sz="6" w:space="0" w:color="000000"/>
            </w:tcBorders>
          </w:tcPr>
          <w:p w:rsidR="00076811" w:rsidRDefault="0004391C">
            <w:pPr>
              <w:widowControl w:val="0"/>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ПРН14*</w:t>
            </w:r>
          </w:p>
        </w:tc>
        <w:tc>
          <w:tcPr>
            <w:tcW w:w="8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75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76811">
        <w:trPr>
          <w:trHeight w:val="283"/>
          <w:jc w:val="center"/>
        </w:trPr>
        <w:tc>
          <w:tcPr>
            <w:tcW w:w="1186" w:type="dxa"/>
            <w:tcBorders>
              <w:top w:val="single" w:sz="4" w:space="0" w:color="000000"/>
              <w:left w:val="single" w:sz="4" w:space="0" w:color="000000"/>
              <w:bottom w:val="single" w:sz="4" w:space="0" w:color="000000"/>
              <w:right w:val="single" w:sz="6" w:space="0" w:color="000000"/>
            </w:tcBorders>
          </w:tcPr>
          <w:p w:rsidR="00076811" w:rsidRDefault="0004391C">
            <w:pPr>
              <w:widowControl w:val="0"/>
              <w:spacing w:after="0"/>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ПРН15*</w:t>
            </w:r>
          </w:p>
        </w:tc>
        <w:tc>
          <w:tcPr>
            <w:tcW w:w="8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75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4391C">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076811" w:rsidRDefault="00076811">
            <w:pPr>
              <w:widowControl w:val="0"/>
              <w:spacing w:after="0" w:line="276" w:lineRule="auto"/>
              <w:jc w:val="center"/>
              <w:rPr>
                <w:rFonts w:ascii="Times New Roman" w:eastAsia="Times New Roman" w:hAnsi="Times New Roman" w:cs="Times New Roman"/>
                <w:sz w:val="24"/>
                <w:szCs w:val="24"/>
              </w:rPr>
            </w:pPr>
          </w:p>
        </w:tc>
      </w:tr>
    </w:tbl>
    <w:p w:rsidR="00076811" w:rsidRDefault="00076811">
      <w:pPr>
        <w:pBdr>
          <w:top w:val="nil"/>
          <w:left w:val="nil"/>
          <w:bottom w:val="nil"/>
          <w:right w:val="nil"/>
          <w:between w:val="nil"/>
        </w:pBdr>
        <w:spacing w:after="240" w:line="240" w:lineRule="auto"/>
        <w:ind w:left="6" w:hanging="6"/>
        <w:jc w:val="both"/>
        <w:rPr>
          <w:rFonts w:ascii="Times New Roman" w:eastAsia="Times New Roman" w:hAnsi="Times New Roman" w:cs="Times New Roman"/>
          <w:color w:val="000000"/>
          <w:sz w:val="16"/>
          <w:szCs w:val="16"/>
        </w:rPr>
      </w:pPr>
    </w:p>
    <w:p w:rsidR="00076811" w:rsidRDefault="0004391C">
      <w:pPr>
        <w:pBdr>
          <w:top w:val="nil"/>
          <w:left w:val="nil"/>
          <w:bottom w:val="nil"/>
          <w:right w:val="nil"/>
          <w:between w:val="nil"/>
        </w:pBdr>
        <w:tabs>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Завідувач кафедри програмної інженерії, </w:t>
      </w:r>
    </w:p>
    <w:p w:rsidR="00076811" w:rsidRDefault="0004391C">
      <w:pPr>
        <w:pBdr>
          <w:top w:val="nil"/>
          <w:left w:val="nil"/>
          <w:bottom w:val="nil"/>
          <w:right w:val="nil"/>
          <w:between w:val="nil"/>
        </w:pBdr>
        <w:tabs>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д.ф.-</w:t>
      </w:r>
      <w:proofErr w:type="spellStart"/>
      <w:r>
        <w:rPr>
          <w:rFonts w:ascii="Times New Roman" w:eastAsia="Times New Roman" w:hAnsi="Times New Roman" w:cs="Times New Roman"/>
          <w:color w:val="000000"/>
          <w:sz w:val="28"/>
          <w:szCs w:val="28"/>
        </w:rPr>
        <w:t>м.н</w:t>
      </w:r>
      <w:proofErr w:type="spellEnd"/>
      <w:r>
        <w:rPr>
          <w:rFonts w:ascii="Times New Roman" w:eastAsia="Times New Roman" w:hAnsi="Times New Roman" w:cs="Times New Roman"/>
          <w:color w:val="000000"/>
          <w:sz w:val="28"/>
          <w:szCs w:val="28"/>
        </w:rPr>
        <w:t xml:space="preserve">, професор, гарант ОНП, </w:t>
      </w:r>
    </w:p>
    <w:p w:rsidR="00076811" w:rsidRDefault="0004391C">
      <w:pPr>
        <w:pBdr>
          <w:top w:val="nil"/>
          <w:left w:val="nil"/>
          <w:bottom w:val="nil"/>
          <w:right w:val="nil"/>
          <w:between w:val="nil"/>
        </w:pBdr>
        <w:tabs>
          <w:tab w:val="left" w:pos="1134"/>
        </w:tabs>
        <w:spacing w:after="240" w:line="240" w:lineRule="auto"/>
        <w:ind w:left="6" w:hanging="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керівник </w:t>
      </w:r>
      <w:proofErr w:type="spellStart"/>
      <w:r>
        <w:rPr>
          <w:rFonts w:ascii="Times New Roman" w:eastAsia="Times New Roman" w:hAnsi="Times New Roman" w:cs="Times New Roman"/>
          <w:color w:val="000000"/>
          <w:sz w:val="28"/>
          <w:szCs w:val="28"/>
        </w:rPr>
        <w:t>проєктної</w:t>
      </w:r>
      <w:proofErr w:type="spellEnd"/>
      <w:r>
        <w:rPr>
          <w:rFonts w:ascii="Times New Roman" w:eastAsia="Times New Roman" w:hAnsi="Times New Roman" w:cs="Times New Roman"/>
          <w:color w:val="000000"/>
          <w:sz w:val="28"/>
          <w:szCs w:val="28"/>
        </w:rPr>
        <w:t xml:space="preserve"> групи</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__________</w:t>
      </w:r>
      <w:r>
        <w:rPr>
          <w:rFonts w:ascii="Times New Roman" w:eastAsia="Times New Roman" w:hAnsi="Times New Roman" w:cs="Times New Roman"/>
          <w:color w:val="000000"/>
          <w:sz w:val="28"/>
          <w:szCs w:val="28"/>
        </w:rPr>
        <w:tab/>
        <w:t>Михайло ПЕТРИК</w:t>
      </w:r>
    </w:p>
    <w:p w:rsidR="00076811" w:rsidRDefault="0004391C">
      <w:pPr>
        <w:pBdr>
          <w:top w:val="nil"/>
          <w:left w:val="nil"/>
          <w:bottom w:val="nil"/>
          <w:right w:val="nil"/>
          <w:between w:val="nil"/>
        </w:pBdr>
        <w:tabs>
          <w:tab w:val="left" w:pos="1134"/>
        </w:tabs>
        <w:spacing w:before="240" w:after="0" w:line="240" w:lineRule="auto"/>
        <w:ind w:left="1" w:hanging="3"/>
        <w:jc w:val="both"/>
        <w:rPr>
          <w:rFonts w:ascii="Times New Roman" w:eastAsia="Times New Roman" w:hAnsi="Times New Roman" w:cs="Times New Roman"/>
          <w:color w:val="000000"/>
          <w:sz w:val="28"/>
          <w:szCs w:val="28"/>
        </w:rPr>
      </w:pPr>
      <w:bookmarkStart w:id="5" w:name="_mf5dpesyszyc" w:colFirst="0" w:colLast="0"/>
      <w:bookmarkEnd w:id="5"/>
      <w:r>
        <w:rPr>
          <w:rFonts w:ascii="Times New Roman" w:eastAsia="Times New Roman" w:hAnsi="Times New Roman" w:cs="Times New Roman"/>
          <w:color w:val="000000"/>
          <w:sz w:val="28"/>
          <w:szCs w:val="28"/>
        </w:rPr>
        <w:t>Професор кафедри програмної інженерії,</w:t>
      </w:r>
    </w:p>
    <w:p w:rsidR="00076811" w:rsidRDefault="0004391C">
      <w:pPr>
        <w:pBdr>
          <w:top w:val="nil"/>
          <w:left w:val="nil"/>
          <w:bottom w:val="nil"/>
          <w:right w:val="nil"/>
          <w:between w:val="nil"/>
        </w:pBdr>
        <w:tabs>
          <w:tab w:val="left" w:pos="1134"/>
        </w:tabs>
        <w:spacing w:after="0" w:line="240" w:lineRule="auto"/>
        <w:ind w:left="1" w:hanging="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д.т.н</w:t>
      </w:r>
      <w:proofErr w:type="spellEnd"/>
      <w:r>
        <w:rPr>
          <w:rFonts w:ascii="Times New Roman" w:eastAsia="Times New Roman" w:hAnsi="Times New Roman" w:cs="Times New Roman"/>
          <w:color w:val="000000"/>
          <w:sz w:val="28"/>
          <w:szCs w:val="28"/>
        </w:rPr>
        <w:t>., професор</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__________Олег ПАСТУХ</w:t>
      </w:r>
    </w:p>
    <w:p w:rsidR="00076811" w:rsidRDefault="0004391C">
      <w:pPr>
        <w:pBdr>
          <w:top w:val="nil"/>
          <w:left w:val="nil"/>
          <w:bottom w:val="nil"/>
          <w:right w:val="nil"/>
          <w:between w:val="nil"/>
        </w:pBdr>
        <w:tabs>
          <w:tab w:val="left" w:pos="1134"/>
        </w:tabs>
        <w:spacing w:before="240"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Доцент кафедри програмної інженерії,</w:t>
      </w:r>
    </w:p>
    <w:p w:rsidR="00076811" w:rsidRDefault="0004391C">
      <w:pPr>
        <w:pBdr>
          <w:top w:val="nil"/>
          <w:left w:val="nil"/>
          <w:bottom w:val="nil"/>
          <w:right w:val="nil"/>
          <w:between w:val="nil"/>
        </w:pBdr>
        <w:tabs>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д.ф.-</w:t>
      </w:r>
      <w:proofErr w:type="spellStart"/>
      <w:r>
        <w:rPr>
          <w:rFonts w:ascii="Times New Roman" w:eastAsia="Times New Roman" w:hAnsi="Times New Roman" w:cs="Times New Roman"/>
          <w:color w:val="000000"/>
          <w:sz w:val="28"/>
          <w:szCs w:val="28"/>
        </w:rPr>
        <w:t>м.н</w:t>
      </w:r>
      <w:proofErr w:type="spellEnd"/>
      <w:r>
        <w:rPr>
          <w:rFonts w:ascii="Times New Roman" w:eastAsia="Times New Roman" w:hAnsi="Times New Roman" w:cs="Times New Roman"/>
          <w:color w:val="000000"/>
          <w:sz w:val="28"/>
          <w:szCs w:val="28"/>
        </w:rPr>
        <w:t>., доцент</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__________Ігор БОЙКО</w:t>
      </w:r>
    </w:p>
    <w:p w:rsidR="00076811" w:rsidRDefault="0004391C">
      <w:pPr>
        <w:pBdr>
          <w:top w:val="nil"/>
          <w:left w:val="nil"/>
          <w:bottom w:val="nil"/>
          <w:right w:val="nil"/>
          <w:between w:val="nil"/>
        </w:pBdr>
        <w:tabs>
          <w:tab w:val="left" w:pos="1134"/>
        </w:tabs>
        <w:spacing w:before="200" w:after="0" w:line="240" w:lineRule="auto"/>
        <w:ind w:left="6" w:hanging="6"/>
        <w:jc w:val="both"/>
        <w:rPr>
          <w:rFonts w:ascii="Times New Roman" w:eastAsia="Times New Roman" w:hAnsi="Times New Roman" w:cs="Times New Roman"/>
          <w:color w:val="000000"/>
          <w:sz w:val="28"/>
          <w:szCs w:val="28"/>
        </w:rPr>
      </w:pPr>
      <w:bookmarkStart w:id="6" w:name="_miozobla3bbb" w:colFirst="0" w:colLast="0"/>
      <w:bookmarkEnd w:id="6"/>
      <w:r>
        <w:rPr>
          <w:rFonts w:ascii="Times New Roman" w:eastAsia="Times New Roman" w:hAnsi="Times New Roman" w:cs="Times New Roman"/>
          <w:color w:val="000000"/>
          <w:sz w:val="28"/>
          <w:szCs w:val="28"/>
        </w:rPr>
        <w:t xml:space="preserve">Доцент кафедри </w:t>
      </w:r>
    </w:p>
    <w:p w:rsidR="00076811" w:rsidRDefault="0004391C">
      <w:pPr>
        <w:pBdr>
          <w:top w:val="nil"/>
          <w:left w:val="nil"/>
          <w:bottom w:val="nil"/>
          <w:right w:val="nil"/>
          <w:between w:val="nil"/>
        </w:pBdr>
        <w:tabs>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програмної інженерії, </w:t>
      </w:r>
      <w:proofErr w:type="spellStart"/>
      <w:r>
        <w:rPr>
          <w:rFonts w:ascii="Times New Roman" w:eastAsia="Times New Roman" w:hAnsi="Times New Roman" w:cs="Times New Roman"/>
          <w:color w:val="000000"/>
          <w:sz w:val="28"/>
          <w:szCs w:val="28"/>
        </w:rPr>
        <w:t>PhD</w:t>
      </w:r>
      <w:proofErr w:type="spellEnd"/>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__________Іван МУДРИК</w:t>
      </w:r>
    </w:p>
    <w:p w:rsidR="00076811" w:rsidRDefault="0004391C">
      <w:pPr>
        <w:pBdr>
          <w:top w:val="nil"/>
          <w:left w:val="nil"/>
          <w:bottom w:val="nil"/>
          <w:right w:val="nil"/>
          <w:between w:val="nil"/>
        </w:pBdr>
        <w:tabs>
          <w:tab w:val="left" w:pos="1134"/>
        </w:tabs>
        <w:spacing w:before="240"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Аспірант 2-го року навчання, </w:t>
      </w:r>
    </w:p>
    <w:p w:rsidR="00076811" w:rsidRDefault="0004391C">
      <w:pPr>
        <w:pBdr>
          <w:top w:val="nil"/>
          <w:left w:val="nil"/>
          <w:bottom w:val="nil"/>
          <w:right w:val="nil"/>
          <w:between w:val="nil"/>
        </w:pBdr>
        <w:tabs>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асистент кафедри </w:t>
      </w:r>
    </w:p>
    <w:p w:rsidR="00076811" w:rsidRDefault="0004391C">
      <w:pPr>
        <w:pBdr>
          <w:top w:val="nil"/>
          <w:left w:val="nil"/>
          <w:bottom w:val="nil"/>
          <w:right w:val="nil"/>
          <w:between w:val="nil"/>
        </w:pBdr>
        <w:tabs>
          <w:tab w:val="left" w:pos="1134"/>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програмної інженерії</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__________</w:t>
      </w:r>
      <w:r>
        <w:rPr>
          <w:rFonts w:ascii="Times New Roman" w:eastAsia="Times New Roman" w:hAnsi="Times New Roman" w:cs="Times New Roman"/>
          <w:color w:val="000000"/>
          <w:sz w:val="28"/>
          <w:szCs w:val="28"/>
        </w:rPr>
        <w:tab/>
        <w:t>Володимир СТЕФАНИШИН</w:t>
      </w:r>
    </w:p>
    <w:sectPr w:rsidR="00076811">
      <w:headerReference w:type="even" r:id="rId12"/>
      <w:headerReference w:type="default" r:id="rId13"/>
      <w:headerReference w:type="first" r:id="rId14"/>
      <w:pgSz w:w="11906" w:h="16838"/>
      <w:pgMar w:top="766" w:right="567" w:bottom="567" w:left="1701" w:header="709"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7A8" w:rsidRDefault="004127A8">
      <w:pPr>
        <w:spacing w:after="0" w:line="240" w:lineRule="auto"/>
      </w:pPr>
      <w:r>
        <w:separator/>
      </w:r>
    </w:p>
  </w:endnote>
  <w:endnote w:type="continuationSeparator" w:id="0">
    <w:p w:rsidR="004127A8" w:rsidRDefault="00412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9983B055-AD5E-4553-A509-25C1428B398C}"/>
    <w:embedBold r:id="rId2" w:fontKey="{242DE445-94D2-4FCD-BA19-CDDAA94F3D92}"/>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3" w:fontKey="{115D8A57-5FBF-4254-8F43-65C9800D644F}"/>
  </w:font>
  <w:font w:name="Georgia">
    <w:panose1 w:val="02040502050405020303"/>
    <w:charset w:val="CC"/>
    <w:family w:val="roman"/>
    <w:pitch w:val="variable"/>
    <w:sig w:usb0="00000287" w:usb1="00000000" w:usb2="00000000" w:usb3="00000000" w:csb0="0000009F" w:csb1="00000000"/>
    <w:embedItalic r:id="rId4" w:fontKey="{CB2A639A-56FF-4862-ABB6-DEDF473E1BDA}"/>
  </w:font>
  <w:font w:name="Roboto">
    <w:charset w:val="00"/>
    <w:family w:val="auto"/>
    <w:pitch w:val="default"/>
    <w:embedRegular r:id="rId5" w:fontKey="{BD39D1E6-BB9E-42D2-8A77-F5EC2108A9C7}"/>
  </w:font>
  <w:font w:name="Cambria">
    <w:panose1 w:val="02040503050406030204"/>
    <w:charset w:val="CC"/>
    <w:family w:val="roman"/>
    <w:pitch w:val="variable"/>
    <w:sig w:usb0="E00006FF" w:usb1="420024FF" w:usb2="02000000" w:usb3="00000000" w:csb0="0000019F" w:csb1="00000000"/>
    <w:embedRegular r:id="rId6" w:fontKey="{2BD6464E-FD0E-4420-8C2F-0DAB68BE5B6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7A8" w:rsidRDefault="004127A8">
      <w:pPr>
        <w:spacing w:after="0" w:line="240" w:lineRule="auto"/>
      </w:pPr>
      <w:r>
        <w:separator/>
      </w:r>
    </w:p>
  </w:footnote>
  <w:footnote w:type="continuationSeparator" w:id="0">
    <w:p w:rsidR="004127A8" w:rsidRDefault="004127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11" w:rsidRDefault="00076811">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11" w:rsidRDefault="00076811">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11" w:rsidRDefault="00076811">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11" w:rsidRDefault="00076811">
    <w:pPr>
      <w:pBdr>
        <w:top w:val="nil"/>
        <w:left w:val="nil"/>
        <w:bottom w:val="nil"/>
        <w:right w:val="nil"/>
        <w:between w:val="nil"/>
      </w:pBdr>
      <w:rPr>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11" w:rsidRDefault="00076811">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811" w:rsidRDefault="00076811">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500A07"/>
    <w:multiLevelType w:val="multilevel"/>
    <w:tmpl w:val="9B72F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2B018C7"/>
    <w:multiLevelType w:val="multilevel"/>
    <w:tmpl w:val="7F64B406"/>
    <w:lvl w:ilvl="0">
      <w:start w:val="1"/>
      <w:numFmt w:val="decimal"/>
      <w:lvlText w:val="%1."/>
      <w:lvlJc w:val="left"/>
      <w:pPr>
        <w:ind w:left="1287" w:hanging="360"/>
      </w:pPr>
      <w:rPr>
        <w:rFonts w:ascii="Times New Roman" w:eastAsia="Times New Roman" w:hAnsi="Times New Roman" w:cs="Times New Roman"/>
        <w:sz w:val="28"/>
        <w:szCs w:val="28"/>
        <w:vertAlign w:val="baseline"/>
      </w:rPr>
    </w:lvl>
    <w:lvl w:ilvl="1">
      <w:start w:val="1"/>
      <w:numFmt w:val="lowerLetter"/>
      <w:lvlText w:val="%2."/>
      <w:lvlJc w:val="left"/>
      <w:pPr>
        <w:ind w:left="2007" w:hanging="360"/>
      </w:pPr>
      <w:rPr>
        <w:rFonts w:ascii="Times New Roman" w:eastAsia="Times New Roman" w:hAnsi="Times New Roman" w:cs="Times New Roman"/>
        <w:sz w:val="20"/>
        <w:szCs w:val="20"/>
        <w:vertAlign w:val="baseline"/>
      </w:rPr>
    </w:lvl>
    <w:lvl w:ilvl="2">
      <w:start w:val="1"/>
      <w:numFmt w:val="lowerRoman"/>
      <w:lvlText w:val="%3."/>
      <w:lvlJc w:val="right"/>
      <w:pPr>
        <w:ind w:left="2727" w:hanging="180"/>
      </w:pPr>
      <w:rPr>
        <w:rFonts w:ascii="Times New Roman" w:eastAsia="Times New Roman" w:hAnsi="Times New Roman" w:cs="Times New Roman"/>
        <w:sz w:val="20"/>
        <w:szCs w:val="20"/>
        <w:vertAlign w:val="baseline"/>
      </w:rPr>
    </w:lvl>
    <w:lvl w:ilvl="3">
      <w:start w:val="1"/>
      <w:numFmt w:val="decimal"/>
      <w:lvlText w:val="%4."/>
      <w:lvlJc w:val="left"/>
      <w:pPr>
        <w:ind w:left="3447" w:hanging="360"/>
      </w:pPr>
      <w:rPr>
        <w:rFonts w:ascii="Times New Roman" w:eastAsia="Times New Roman" w:hAnsi="Times New Roman" w:cs="Times New Roman"/>
        <w:sz w:val="20"/>
        <w:szCs w:val="20"/>
        <w:vertAlign w:val="baseline"/>
      </w:rPr>
    </w:lvl>
    <w:lvl w:ilvl="4">
      <w:start w:val="1"/>
      <w:numFmt w:val="lowerLetter"/>
      <w:lvlText w:val="%5."/>
      <w:lvlJc w:val="left"/>
      <w:pPr>
        <w:ind w:left="4167" w:hanging="360"/>
      </w:pPr>
      <w:rPr>
        <w:rFonts w:ascii="Times New Roman" w:eastAsia="Times New Roman" w:hAnsi="Times New Roman" w:cs="Times New Roman"/>
        <w:sz w:val="20"/>
        <w:szCs w:val="20"/>
        <w:vertAlign w:val="baseline"/>
      </w:rPr>
    </w:lvl>
    <w:lvl w:ilvl="5">
      <w:start w:val="1"/>
      <w:numFmt w:val="lowerRoman"/>
      <w:lvlText w:val="%6."/>
      <w:lvlJc w:val="right"/>
      <w:pPr>
        <w:ind w:left="4887" w:hanging="180"/>
      </w:pPr>
      <w:rPr>
        <w:rFonts w:ascii="Times New Roman" w:eastAsia="Times New Roman" w:hAnsi="Times New Roman" w:cs="Times New Roman"/>
        <w:sz w:val="20"/>
        <w:szCs w:val="20"/>
        <w:vertAlign w:val="baseline"/>
      </w:rPr>
    </w:lvl>
    <w:lvl w:ilvl="6">
      <w:start w:val="1"/>
      <w:numFmt w:val="decimal"/>
      <w:lvlText w:val="%7."/>
      <w:lvlJc w:val="left"/>
      <w:pPr>
        <w:ind w:left="5607" w:hanging="360"/>
      </w:pPr>
      <w:rPr>
        <w:rFonts w:ascii="Times New Roman" w:eastAsia="Times New Roman" w:hAnsi="Times New Roman" w:cs="Times New Roman"/>
        <w:sz w:val="20"/>
        <w:szCs w:val="20"/>
        <w:vertAlign w:val="baseline"/>
      </w:rPr>
    </w:lvl>
    <w:lvl w:ilvl="7">
      <w:start w:val="1"/>
      <w:numFmt w:val="lowerLetter"/>
      <w:lvlText w:val="%8."/>
      <w:lvlJc w:val="left"/>
      <w:pPr>
        <w:ind w:left="6327" w:hanging="360"/>
      </w:pPr>
      <w:rPr>
        <w:rFonts w:ascii="Times New Roman" w:eastAsia="Times New Roman" w:hAnsi="Times New Roman" w:cs="Times New Roman"/>
        <w:sz w:val="20"/>
        <w:szCs w:val="20"/>
        <w:vertAlign w:val="baseline"/>
      </w:rPr>
    </w:lvl>
    <w:lvl w:ilvl="8">
      <w:start w:val="1"/>
      <w:numFmt w:val="lowerRoman"/>
      <w:lvlText w:val="%9."/>
      <w:lvlJc w:val="right"/>
      <w:pPr>
        <w:ind w:left="7047" w:hanging="180"/>
      </w:pPr>
      <w:rPr>
        <w:rFonts w:ascii="Times New Roman" w:eastAsia="Times New Roman" w:hAnsi="Times New Roman" w:cs="Times New Roman"/>
        <w:sz w:val="20"/>
        <w:szCs w:val="20"/>
        <w:vertAlign w:val="baseline"/>
      </w:rPr>
    </w:lvl>
  </w:abstractNum>
  <w:abstractNum w:abstractNumId="2" w15:restartNumberingAfterBreak="0">
    <w:nsid w:val="76A0170C"/>
    <w:multiLevelType w:val="multilevel"/>
    <w:tmpl w:val="D69CE162"/>
    <w:lvl w:ilvl="0">
      <w:start w:val="5"/>
      <w:numFmt w:val="bullet"/>
      <w:lvlText w:val="-"/>
      <w:lvlJc w:val="left"/>
      <w:pPr>
        <w:ind w:left="754" w:hanging="357"/>
      </w:pPr>
      <w:rPr>
        <w:rFonts w:ascii="Calibri" w:eastAsia="Calibri" w:hAnsi="Calibri" w:cs="Calibri"/>
        <w:sz w:val="20"/>
        <w:szCs w:val="20"/>
        <w:vertAlign w:val="baseline"/>
      </w:rPr>
    </w:lvl>
    <w:lvl w:ilvl="1">
      <w:start w:val="1"/>
      <w:numFmt w:val="bullet"/>
      <w:lvlText w:val="o"/>
      <w:lvlJc w:val="left"/>
      <w:pPr>
        <w:ind w:left="1474" w:hanging="360"/>
      </w:pPr>
      <w:rPr>
        <w:rFonts w:ascii="Courier New" w:eastAsia="Courier New" w:hAnsi="Courier New" w:cs="Courier New"/>
        <w:sz w:val="20"/>
        <w:szCs w:val="20"/>
        <w:vertAlign w:val="baseline"/>
      </w:rPr>
    </w:lvl>
    <w:lvl w:ilvl="2">
      <w:start w:val="1"/>
      <w:numFmt w:val="bullet"/>
      <w:lvlText w:val="▪"/>
      <w:lvlJc w:val="left"/>
      <w:pPr>
        <w:ind w:left="2194" w:hanging="360"/>
      </w:pPr>
      <w:rPr>
        <w:rFonts w:ascii="Noto Sans Symbols" w:eastAsia="Noto Sans Symbols" w:hAnsi="Noto Sans Symbols" w:cs="Noto Sans Symbols"/>
        <w:sz w:val="20"/>
        <w:szCs w:val="20"/>
        <w:vertAlign w:val="baseline"/>
      </w:rPr>
    </w:lvl>
    <w:lvl w:ilvl="3">
      <w:start w:val="1"/>
      <w:numFmt w:val="bullet"/>
      <w:lvlText w:val="●"/>
      <w:lvlJc w:val="left"/>
      <w:pPr>
        <w:ind w:left="2914" w:hanging="360"/>
      </w:pPr>
      <w:rPr>
        <w:rFonts w:ascii="Noto Sans Symbols" w:eastAsia="Noto Sans Symbols" w:hAnsi="Noto Sans Symbols" w:cs="Noto Sans Symbols"/>
        <w:sz w:val="20"/>
        <w:szCs w:val="20"/>
        <w:vertAlign w:val="baseline"/>
      </w:rPr>
    </w:lvl>
    <w:lvl w:ilvl="4">
      <w:start w:val="1"/>
      <w:numFmt w:val="bullet"/>
      <w:lvlText w:val="o"/>
      <w:lvlJc w:val="left"/>
      <w:pPr>
        <w:ind w:left="3634" w:hanging="360"/>
      </w:pPr>
      <w:rPr>
        <w:rFonts w:ascii="Courier New" w:eastAsia="Courier New" w:hAnsi="Courier New" w:cs="Courier New"/>
        <w:sz w:val="20"/>
        <w:szCs w:val="20"/>
        <w:vertAlign w:val="baseline"/>
      </w:rPr>
    </w:lvl>
    <w:lvl w:ilvl="5">
      <w:start w:val="1"/>
      <w:numFmt w:val="bullet"/>
      <w:lvlText w:val="▪"/>
      <w:lvlJc w:val="left"/>
      <w:pPr>
        <w:ind w:left="4354" w:hanging="360"/>
      </w:pPr>
      <w:rPr>
        <w:rFonts w:ascii="Noto Sans Symbols" w:eastAsia="Noto Sans Symbols" w:hAnsi="Noto Sans Symbols" w:cs="Noto Sans Symbols"/>
        <w:sz w:val="20"/>
        <w:szCs w:val="20"/>
        <w:vertAlign w:val="baseline"/>
      </w:rPr>
    </w:lvl>
    <w:lvl w:ilvl="6">
      <w:start w:val="1"/>
      <w:numFmt w:val="bullet"/>
      <w:lvlText w:val="●"/>
      <w:lvlJc w:val="left"/>
      <w:pPr>
        <w:ind w:left="5074" w:hanging="360"/>
      </w:pPr>
      <w:rPr>
        <w:rFonts w:ascii="Noto Sans Symbols" w:eastAsia="Noto Sans Symbols" w:hAnsi="Noto Sans Symbols" w:cs="Noto Sans Symbols"/>
        <w:sz w:val="20"/>
        <w:szCs w:val="20"/>
        <w:vertAlign w:val="baseline"/>
      </w:rPr>
    </w:lvl>
    <w:lvl w:ilvl="7">
      <w:start w:val="1"/>
      <w:numFmt w:val="bullet"/>
      <w:lvlText w:val="o"/>
      <w:lvlJc w:val="left"/>
      <w:pPr>
        <w:ind w:left="5794" w:hanging="360"/>
      </w:pPr>
      <w:rPr>
        <w:rFonts w:ascii="Courier New" w:eastAsia="Courier New" w:hAnsi="Courier New" w:cs="Courier New"/>
        <w:sz w:val="20"/>
        <w:szCs w:val="20"/>
        <w:vertAlign w:val="baseline"/>
      </w:rPr>
    </w:lvl>
    <w:lvl w:ilvl="8">
      <w:start w:val="1"/>
      <w:numFmt w:val="bullet"/>
      <w:lvlText w:val="▪"/>
      <w:lvlJc w:val="left"/>
      <w:pPr>
        <w:ind w:left="6514" w:hanging="360"/>
      </w:pPr>
      <w:rPr>
        <w:rFonts w:ascii="Noto Sans Symbols" w:eastAsia="Noto Sans Symbols" w:hAnsi="Noto Sans Symbols" w:cs="Noto Sans Symbols"/>
        <w:sz w:val="20"/>
        <w:szCs w:val="20"/>
        <w:vertAlign w:val="baseline"/>
      </w:rPr>
    </w:lvl>
  </w:abstractNum>
  <w:abstractNum w:abstractNumId="3" w15:restartNumberingAfterBreak="0">
    <w:nsid w:val="77E428CD"/>
    <w:multiLevelType w:val="multilevel"/>
    <w:tmpl w:val="E8B069FC"/>
    <w:lvl w:ilvl="0">
      <w:start w:val="1"/>
      <w:numFmt w:val="decimal"/>
      <w:lvlText w:val="%1."/>
      <w:lvlJc w:val="left"/>
      <w:pPr>
        <w:ind w:left="720" w:hanging="360"/>
      </w:pPr>
      <w:rPr>
        <w:sz w:val="20"/>
        <w:szCs w:val="20"/>
        <w:vertAlign w:val="baseline"/>
      </w:rPr>
    </w:lvl>
    <w:lvl w:ilvl="1">
      <w:start w:val="1"/>
      <w:numFmt w:val="decimal"/>
      <w:lvlText w:val="%2."/>
      <w:lvlJc w:val="left"/>
      <w:pPr>
        <w:ind w:left="1440" w:hanging="360"/>
      </w:pPr>
      <w:rPr>
        <w:sz w:val="20"/>
        <w:szCs w:val="20"/>
        <w:vertAlign w:val="baseline"/>
      </w:rPr>
    </w:lvl>
    <w:lvl w:ilvl="2">
      <w:start w:val="1"/>
      <w:numFmt w:val="decimal"/>
      <w:lvlText w:val="%3."/>
      <w:lvlJc w:val="left"/>
      <w:pPr>
        <w:ind w:left="2160" w:hanging="36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decimal"/>
      <w:lvlText w:val="%5."/>
      <w:lvlJc w:val="left"/>
      <w:pPr>
        <w:ind w:left="3600" w:hanging="360"/>
      </w:pPr>
      <w:rPr>
        <w:sz w:val="20"/>
        <w:szCs w:val="20"/>
        <w:vertAlign w:val="baseline"/>
      </w:rPr>
    </w:lvl>
    <w:lvl w:ilvl="5">
      <w:start w:val="1"/>
      <w:numFmt w:val="decimal"/>
      <w:lvlText w:val="%6."/>
      <w:lvlJc w:val="left"/>
      <w:pPr>
        <w:ind w:left="4320" w:hanging="36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decimal"/>
      <w:lvlText w:val="%8."/>
      <w:lvlJc w:val="left"/>
      <w:pPr>
        <w:ind w:left="5760" w:hanging="360"/>
      </w:pPr>
      <w:rPr>
        <w:sz w:val="20"/>
        <w:szCs w:val="20"/>
        <w:vertAlign w:val="baseline"/>
      </w:rPr>
    </w:lvl>
    <w:lvl w:ilvl="8">
      <w:start w:val="1"/>
      <w:numFmt w:val="decimal"/>
      <w:lvlText w:val="%9."/>
      <w:lvlJc w:val="left"/>
      <w:pPr>
        <w:ind w:left="6480" w:hanging="360"/>
      </w:pPr>
      <w:rPr>
        <w:sz w:val="20"/>
        <w:szCs w:val="20"/>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811"/>
    <w:rsid w:val="0004391C"/>
    <w:rsid w:val="00076811"/>
    <w:rsid w:val="004127A8"/>
    <w:rsid w:val="00965B2E"/>
    <w:rsid w:val="00C401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81D20"/>
  <w15:docId w15:val="{9475D3E1-928B-4123-B9F5-3E8940FAC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pPr>
      <w:keepNext/>
      <w:keepLines/>
      <w:pBdr>
        <w:top w:val="nil"/>
        <w:left w:val="nil"/>
        <w:bottom w:val="nil"/>
        <w:right w:val="nil"/>
        <w:between w:val="nil"/>
      </w:pBdr>
      <w:spacing w:before="200" w:after="40"/>
      <w:outlineLvl w:val="5"/>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pBdr>
        <w:top w:val="nil"/>
        <w:left w:val="nil"/>
        <w:bottom w:val="nil"/>
        <w:right w:val="nil"/>
        <w:between w:val="nil"/>
      </w:pBdr>
      <w:spacing w:before="480" w:after="120"/>
    </w:pPr>
    <w:rPr>
      <w:b/>
      <w:bCs/>
      <w:color w:val="000000"/>
      <w:sz w:val="72"/>
      <w:szCs w:val="72"/>
    </w:rPr>
  </w:style>
  <w:style w:type="paragraph" w:styleId="a4">
    <w:name w:val="Subtitle"/>
    <w:basedOn w:val="a"/>
    <w:next w:val="a"/>
    <w:pPr>
      <w:keepNext/>
      <w:keepLines/>
      <w:pBdr>
        <w:top w:val="nil"/>
        <w:left w:val="nil"/>
        <w:bottom w:val="nil"/>
        <w:right w:val="nil"/>
        <w:between w:val="nil"/>
      </w:pBdr>
      <w:spacing w:before="360" w:after="80" w:line="240" w:lineRule="auto"/>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paragraph" w:styleId="ac">
    <w:name w:val="Normal (Web)"/>
    <w:basedOn w:val="a"/>
    <w:uiPriority w:val="99"/>
    <w:semiHidden/>
    <w:unhideWhenUsed/>
    <w:rsid w:val="00965B2E"/>
    <w:pPr>
      <w:spacing w:before="100" w:beforeAutospacing="1" w:after="100" w:afterAutospacing="1" w:line="240" w:lineRule="auto"/>
    </w:pPr>
    <w:rPr>
      <w:rFonts w:ascii="Times New Roman" w:eastAsia="Times New Roman" w:hAnsi="Times New Roman" w:cs="Times New Roman"/>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627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tntu.edu.ua/?p=uk/structure/faculties/fis"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22870</Words>
  <Characters>13036</Characters>
  <Application>Microsoft Office Word</Application>
  <DocSecurity>0</DocSecurity>
  <Lines>108</Lines>
  <Paragraphs>71</Paragraphs>
  <ScaleCrop>false</ScaleCrop>
  <Company>TNTU</Company>
  <LinksUpToDate>false</LinksUpToDate>
  <CharactersWithSpaces>35835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VJ</cp:lastModifiedBy>
  <cp:revision>3</cp:revision>
  <dcterms:created xsi:type="dcterms:W3CDTF">2026-02-02T12:41:00Z</dcterms:created>
  <dcterms:modified xsi:type="dcterms:W3CDTF">2026-02-02T12:50:00Z</dcterms:modified>
</cp:coreProperties>
</file>